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11341" w:type="dxa"/>
        <w:tblInd w:w="-1140" w:type="dxa"/>
        <w:tblLayout w:type="fixed"/>
        <w:tblLook w:val="04A0" w:firstRow="1" w:lastRow="0" w:firstColumn="1" w:lastColumn="0" w:noHBand="0" w:noVBand="1"/>
      </w:tblPr>
      <w:tblGrid>
        <w:gridCol w:w="2557"/>
        <w:gridCol w:w="1560"/>
        <w:gridCol w:w="7224"/>
      </w:tblGrid>
      <w:tr w:rsidR="008E4DE3" w:rsidRPr="00A30662" w14:paraId="01C3EC6C" w14:textId="77777777" w:rsidTr="39C45D2B">
        <w:tc>
          <w:tcPr>
            <w:tcW w:w="11341" w:type="dxa"/>
            <w:gridSpan w:val="3"/>
            <w:tcBorders>
              <w:top w:val="nil"/>
              <w:left w:val="nil"/>
              <w:bottom w:val="single" w:sz="4" w:space="0" w:color="auto"/>
              <w:right w:val="nil"/>
            </w:tcBorders>
          </w:tcPr>
          <w:p w14:paraId="6E77B767" w14:textId="7D2D8C37" w:rsidR="00067C28" w:rsidRPr="00D84A60" w:rsidRDefault="002B0312" w:rsidP="00D84A60">
            <w:pPr>
              <w:spacing w:after="120"/>
              <w:jc w:val="center"/>
              <w:rPr>
                <w:b/>
                <w:bCs/>
                <w:color w:val="2F5496" w:themeColor="accent1" w:themeShade="BF"/>
                <w:sz w:val="32"/>
                <w:szCs w:val="32"/>
              </w:rPr>
            </w:pPr>
            <w:r w:rsidRPr="0063682C">
              <w:rPr>
                <w:rFonts w:eastAsia="Calibri"/>
                <w:b/>
                <w:bCs/>
                <w:sz w:val="30"/>
                <w:szCs w:val="30"/>
              </w:rPr>
              <w:t>Fiche action "Lutte contre le décrochage dans l’enseignement supérieur"</w:t>
            </w:r>
            <w:r w:rsidR="00CE3C01">
              <w:rPr>
                <w:b/>
                <w:bCs/>
                <w:color w:val="2F5496" w:themeColor="accent1" w:themeShade="BF"/>
                <w:sz w:val="32"/>
                <w:szCs w:val="32"/>
              </w:rPr>
              <w:br/>
            </w:r>
            <w:r w:rsidR="00CE3C01">
              <w:rPr>
                <w:rStyle w:val="normaltextrun"/>
                <w:color w:val="000000"/>
                <w:sz w:val="22"/>
                <w:szCs w:val="22"/>
                <w:shd w:val="clear" w:color="auto" w:fill="FFFFFF"/>
              </w:rPr>
              <w:t>du "</w:t>
            </w:r>
            <w:hyperlink r:id="rId11" w:tgtFrame="_blank" w:history="1">
              <w:r w:rsidR="00CE3C01">
                <w:rPr>
                  <w:rStyle w:val="normaltextrun"/>
                  <w:i/>
                  <w:iCs/>
                  <w:color w:val="0000FF"/>
                  <w:sz w:val="22"/>
                  <w:szCs w:val="22"/>
                  <w:u w:val="single"/>
                  <w:shd w:val="clear" w:color="auto" w:fill="FFFFFF"/>
                </w:rPr>
                <w:t>guide méthodologique de mise en œuvre</w:t>
              </w:r>
            </w:hyperlink>
            <w:r w:rsidR="00CE3C01">
              <w:rPr>
                <w:rStyle w:val="normaltextrun"/>
                <w:color w:val="000000"/>
                <w:sz w:val="22"/>
                <w:szCs w:val="22"/>
                <w:shd w:val="clear" w:color="auto" w:fill="FFFFFF"/>
              </w:rPr>
              <w:t>" du Programme régional FEDER-FSE+ 2021-2027</w:t>
            </w:r>
          </w:p>
        </w:tc>
      </w:tr>
      <w:tr w:rsidR="008E4DE3" w:rsidRPr="008E4DE3" w14:paraId="00C80E78" w14:textId="77777777" w:rsidTr="39C45D2B">
        <w:tc>
          <w:tcPr>
            <w:tcW w:w="2557" w:type="dxa"/>
            <w:tcBorders>
              <w:top w:val="single" w:sz="4" w:space="0" w:color="auto"/>
            </w:tcBorders>
            <w:vAlign w:val="center"/>
          </w:tcPr>
          <w:p w14:paraId="5451A467" w14:textId="77777777" w:rsidR="008E4DE3" w:rsidRPr="008E4DE3" w:rsidRDefault="008E4DE3" w:rsidP="008E4DE3">
            <w:pPr>
              <w:spacing w:line="276" w:lineRule="auto"/>
              <w:jc w:val="center"/>
              <w:rPr>
                <w:b/>
                <w:bCs/>
                <w:sz w:val="20"/>
                <w:szCs w:val="20"/>
              </w:rPr>
            </w:pPr>
            <w:r w:rsidRPr="008E4DE3">
              <w:rPr>
                <w:b/>
                <w:bCs/>
                <w:sz w:val="20"/>
                <w:szCs w:val="20"/>
              </w:rPr>
              <w:t>Fonds</w:t>
            </w:r>
          </w:p>
        </w:tc>
        <w:tc>
          <w:tcPr>
            <w:tcW w:w="8784" w:type="dxa"/>
            <w:gridSpan w:val="2"/>
            <w:tcBorders>
              <w:top w:val="single" w:sz="4" w:space="0" w:color="auto"/>
            </w:tcBorders>
            <w:vAlign w:val="center"/>
          </w:tcPr>
          <w:p w14:paraId="5B1CF3F6" w14:textId="77777777" w:rsidR="008E4DE3" w:rsidRPr="008E4DE3" w:rsidRDefault="008E4DE3" w:rsidP="0039243A">
            <w:pPr>
              <w:spacing w:before="60" w:after="60" w:line="276" w:lineRule="auto"/>
              <w:rPr>
                <w:b/>
                <w:bCs/>
                <w:sz w:val="20"/>
                <w:szCs w:val="20"/>
              </w:rPr>
            </w:pPr>
            <w:r w:rsidRPr="008E4DE3">
              <w:rPr>
                <w:b/>
                <w:bCs/>
                <w:sz w:val="20"/>
                <w:szCs w:val="20"/>
              </w:rPr>
              <w:t>FSE+</w:t>
            </w:r>
          </w:p>
        </w:tc>
      </w:tr>
      <w:tr w:rsidR="008E4DE3" w:rsidRPr="008E4DE3" w14:paraId="660DA223" w14:textId="77777777" w:rsidTr="39C45D2B">
        <w:tc>
          <w:tcPr>
            <w:tcW w:w="2557" w:type="dxa"/>
            <w:tcBorders>
              <w:top w:val="single" w:sz="4" w:space="0" w:color="auto"/>
            </w:tcBorders>
            <w:vAlign w:val="center"/>
          </w:tcPr>
          <w:p w14:paraId="15DFCCDD" w14:textId="77777777" w:rsidR="008E4DE3" w:rsidRPr="008E4DE3" w:rsidRDefault="008E4DE3" w:rsidP="008E4DE3">
            <w:pPr>
              <w:spacing w:line="276" w:lineRule="auto"/>
              <w:jc w:val="center"/>
              <w:rPr>
                <w:b/>
                <w:bCs/>
                <w:sz w:val="20"/>
                <w:szCs w:val="20"/>
              </w:rPr>
            </w:pPr>
            <w:r w:rsidRPr="008E4DE3">
              <w:rPr>
                <w:b/>
                <w:bCs/>
                <w:sz w:val="20"/>
                <w:szCs w:val="20"/>
              </w:rPr>
              <w:t>Priorité 4</w:t>
            </w:r>
          </w:p>
        </w:tc>
        <w:tc>
          <w:tcPr>
            <w:tcW w:w="8784" w:type="dxa"/>
            <w:gridSpan w:val="2"/>
            <w:tcBorders>
              <w:top w:val="single" w:sz="4" w:space="0" w:color="auto"/>
            </w:tcBorders>
          </w:tcPr>
          <w:p w14:paraId="45C307C3" w14:textId="59FB514A" w:rsidR="008E4DE3" w:rsidRPr="008E4DE3" w:rsidRDefault="0039243A" w:rsidP="0039243A">
            <w:pPr>
              <w:spacing w:before="60" w:after="60" w:line="276" w:lineRule="auto"/>
              <w:jc w:val="both"/>
              <w:rPr>
                <w:sz w:val="20"/>
                <w:szCs w:val="20"/>
              </w:rPr>
            </w:pPr>
            <w:r>
              <w:rPr>
                <w:sz w:val="20"/>
                <w:szCs w:val="20"/>
              </w:rPr>
              <w:t>s</w:t>
            </w:r>
            <w:r w:rsidR="008E4DE3" w:rsidRPr="008E4DE3">
              <w:rPr>
                <w:sz w:val="20"/>
                <w:szCs w:val="20"/>
              </w:rPr>
              <w:t>outenir la création d'activité, la formation professionnelle et la lutte contre le décrochage scolaire en Île-de-France.</w:t>
            </w:r>
          </w:p>
        </w:tc>
      </w:tr>
      <w:tr w:rsidR="008E4DE3" w:rsidRPr="008E4DE3" w14:paraId="516B1902" w14:textId="77777777" w:rsidTr="39C45D2B">
        <w:tc>
          <w:tcPr>
            <w:tcW w:w="2557" w:type="dxa"/>
            <w:tcBorders>
              <w:top w:val="single" w:sz="4" w:space="0" w:color="auto"/>
            </w:tcBorders>
            <w:vAlign w:val="center"/>
          </w:tcPr>
          <w:p w14:paraId="3411F63A" w14:textId="77777777" w:rsidR="008E4DE3" w:rsidRPr="008E4DE3" w:rsidRDefault="008E4DE3" w:rsidP="008E4DE3">
            <w:pPr>
              <w:spacing w:line="276" w:lineRule="auto"/>
              <w:jc w:val="center"/>
              <w:rPr>
                <w:b/>
                <w:bCs/>
                <w:sz w:val="20"/>
                <w:szCs w:val="20"/>
              </w:rPr>
            </w:pPr>
            <w:r w:rsidRPr="008E4DE3">
              <w:rPr>
                <w:b/>
                <w:bCs/>
                <w:sz w:val="20"/>
                <w:szCs w:val="20"/>
              </w:rPr>
              <w:t>Objectif spécifique 4.6</w:t>
            </w:r>
          </w:p>
        </w:tc>
        <w:tc>
          <w:tcPr>
            <w:tcW w:w="8784" w:type="dxa"/>
            <w:gridSpan w:val="2"/>
            <w:tcBorders>
              <w:top w:val="single" w:sz="4" w:space="0" w:color="auto"/>
            </w:tcBorders>
          </w:tcPr>
          <w:p w14:paraId="301FDCEC" w14:textId="6C556A07" w:rsidR="008E4DE3" w:rsidRPr="008E4DE3" w:rsidRDefault="00F418C6" w:rsidP="00A16DEE">
            <w:pPr>
              <w:spacing w:before="60" w:after="60" w:line="276" w:lineRule="auto"/>
              <w:jc w:val="both"/>
              <w:rPr>
                <w:bCs/>
                <w:sz w:val="20"/>
                <w:szCs w:val="20"/>
              </w:rPr>
            </w:pPr>
            <w:r w:rsidRPr="39C45D2B">
              <w:rPr>
                <w:sz w:val="20"/>
                <w:szCs w:val="20"/>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l’enseignement et la formation professionnelle et par l’enseignement supérieur, et faciliter la mobilité à des fins d’apprentissage pour tous et l’accessibilité pour les personnes handicapées.</w:t>
            </w:r>
          </w:p>
        </w:tc>
      </w:tr>
      <w:tr w:rsidR="008E4DE3" w:rsidRPr="008E4DE3" w14:paraId="063098E3" w14:textId="77777777" w:rsidTr="39C45D2B">
        <w:tc>
          <w:tcPr>
            <w:tcW w:w="2557" w:type="dxa"/>
            <w:shd w:val="clear" w:color="auto" w:fill="FFFF00"/>
            <w:vAlign w:val="center"/>
          </w:tcPr>
          <w:p w14:paraId="14AB4250" w14:textId="77777777" w:rsidR="008E4DE3" w:rsidRPr="008E4DE3" w:rsidRDefault="008E4DE3" w:rsidP="008E4DE3">
            <w:pPr>
              <w:spacing w:line="276" w:lineRule="auto"/>
              <w:jc w:val="center"/>
              <w:rPr>
                <w:b/>
                <w:bCs/>
                <w:sz w:val="20"/>
                <w:szCs w:val="20"/>
              </w:rPr>
            </w:pPr>
            <w:r w:rsidRPr="008E4DE3">
              <w:rPr>
                <w:b/>
                <w:bCs/>
                <w:sz w:val="20"/>
                <w:szCs w:val="20"/>
              </w:rPr>
              <w:t>Type d’action 4.6.2</w:t>
            </w:r>
          </w:p>
        </w:tc>
        <w:tc>
          <w:tcPr>
            <w:tcW w:w="8784" w:type="dxa"/>
            <w:gridSpan w:val="2"/>
            <w:shd w:val="clear" w:color="auto" w:fill="FFFF00"/>
          </w:tcPr>
          <w:p w14:paraId="091BAFB6" w14:textId="4B81025D" w:rsidR="008E4DE3" w:rsidRPr="008E4DE3" w:rsidRDefault="008E4DE3" w:rsidP="3A3190E2">
            <w:pPr>
              <w:spacing w:before="120" w:after="120" w:line="276" w:lineRule="auto"/>
              <w:jc w:val="both"/>
              <w:rPr>
                <w:b/>
                <w:bCs/>
                <w:sz w:val="20"/>
                <w:szCs w:val="20"/>
              </w:rPr>
            </w:pPr>
            <w:r w:rsidRPr="39C45D2B">
              <w:rPr>
                <w:rFonts w:eastAsia="Calibri"/>
                <w:b/>
                <w:bCs/>
                <w:sz w:val="20"/>
                <w:szCs w:val="20"/>
              </w:rPr>
              <w:t>Lutter contre le décrochage scolaire au travers d’un accompagnement individualisé.</w:t>
            </w:r>
          </w:p>
        </w:tc>
      </w:tr>
      <w:tr w:rsidR="008E4DE3" w:rsidRPr="008E4DE3" w14:paraId="0C42FE4A" w14:textId="77777777" w:rsidTr="39C45D2B">
        <w:trPr>
          <w:trHeight w:val="492"/>
        </w:trPr>
        <w:tc>
          <w:tcPr>
            <w:tcW w:w="11341" w:type="dxa"/>
            <w:gridSpan w:val="3"/>
            <w:shd w:val="clear" w:color="auto" w:fill="B4C6E7" w:themeFill="accent1" w:themeFillTint="66"/>
            <w:vAlign w:val="center"/>
          </w:tcPr>
          <w:p w14:paraId="1165DFAF" w14:textId="77777777" w:rsidR="008E4DE3" w:rsidRPr="008E4DE3" w:rsidRDefault="008E4DE3" w:rsidP="008E4DE3">
            <w:pPr>
              <w:spacing w:line="276" w:lineRule="auto"/>
              <w:jc w:val="center"/>
              <w:rPr>
                <w:b/>
                <w:bCs/>
              </w:rPr>
            </w:pPr>
            <w:r w:rsidRPr="008E4DE3">
              <w:rPr>
                <w:b/>
                <w:sz w:val="28"/>
                <w:szCs w:val="28"/>
              </w:rPr>
              <w:t>Principaux critères de sélection des projets</w:t>
            </w:r>
          </w:p>
        </w:tc>
      </w:tr>
      <w:tr w:rsidR="008E4DE3" w:rsidRPr="008E4DE3" w14:paraId="763D8D6D" w14:textId="77777777" w:rsidTr="39C45D2B">
        <w:trPr>
          <w:trHeight w:val="302"/>
        </w:trPr>
        <w:tc>
          <w:tcPr>
            <w:tcW w:w="2557" w:type="dxa"/>
            <w:vAlign w:val="center"/>
          </w:tcPr>
          <w:p w14:paraId="01221BD4" w14:textId="77777777" w:rsidR="008E4DE3" w:rsidRPr="008E4DE3" w:rsidRDefault="008E4DE3" w:rsidP="008E4DE3">
            <w:pPr>
              <w:spacing w:line="276" w:lineRule="auto"/>
              <w:jc w:val="center"/>
              <w:rPr>
                <w:b/>
                <w:bCs/>
                <w:sz w:val="20"/>
                <w:szCs w:val="20"/>
              </w:rPr>
            </w:pPr>
            <w:r w:rsidRPr="008E4DE3">
              <w:rPr>
                <w:b/>
                <w:bCs/>
                <w:sz w:val="20"/>
                <w:szCs w:val="20"/>
              </w:rPr>
              <w:t>Projets financés</w:t>
            </w:r>
          </w:p>
        </w:tc>
        <w:tc>
          <w:tcPr>
            <w:tcW w:w="8784" w:type="dxa"/>
            <w:gridSpan w:val="2"/>
          </w:tcPr>
          <w:p w14:paraId="1492374F" w14:textId="4B9D24A9" w:rsidR="008E4DE3" w:rsidRPr="002A0BD3" w:rsidRDefault="008E4DE3" w:rsidP="00A16DEE">
            <w:pPr>
              <w:spacing w:before="60" w:line="276" w:lineRule="auto"/>
              <w:jc w:val="both"/>
              <w:rPr>
                <w:strike/>
                <w:color w:val="FF0000"/>
                <w:sz w:val="20"/>
                <w:szCs w:val="20"/>
              </w:rPr>
            </w:pPr>
            <w:r w:rsidRPr="008E4DE3">
              <w:rPr>
                <w:sz w:val="20"/>
                <w:szCs w:val="20"/>
              </w:rPr>
              <w:t>- Soutien aux actions d’accompagnement individualisé</w:t>
            </w:r>
          </w:p>
          <w:p w14:paraId="48609A61" w14:textId="3F037A96" w:rsidR="008E4DE3" w:rsidRPr="008E4DE3" w:rsidRDefault="008E4DE3" w:rsidP="008E4DE3">
            <w:pPr>
              <w:spacing w:line="276" w:lineRule="auto"/>
              <w:jc w:val="both"/>
              <w:rPr>
                <w:sz w:val="20"/>
                <w:szCs w:val="20"/>
              </w:rPr>
            </w:pPr>
            <w:r w:rsidRPr="008E4DE3">
              <w:rPr>
                <w:sz w:val="20"/>
                <w:szCs w:val="20"/>
              </w:rPr>
              <w:t>- Soutien aux actions visant à prévenir le décrochage scolaire en portant une attention particulière aux jeunes présentant des signes d’abandon scolaire via un suivi pédagogique continu</w:t>
            </w:r>
            <w:r w:rsidR="00067C28">
              <w:rPr>
                <w:sz w:val="20"/>
                <w:szCs w:val="20"/>
              </w:rPr>
              <w:t>.</w:t>
            </w:r>
          </w:p>
          <w:p w14:paraId="3D0F67EC" w14:textId="419127F5" w:rsidR="008E4DE3" w:rsidRPr="008E4DE3" w:rsidRDefault="008E4DE3" w:rsidP="008E4DE3">
            <w:pPr>
              <w:spacing w:line="276" w:lineRule="auto"/>
              <w:jc w:val="both"/>
              <w:rPr>
                <w:sz w:val="20"/>
                <w:szCs w:val="20"/>
              </w:rPr>
            </w:pPr>
            <w:r w:rsidRPr="008E4DE3">
              <w:rPr>
                <w:sz w:val="20"/>
                <w:szCs w:val="20"/>
              </w:rPr>
              <w:t>- Soutien aux systèmes de tutorat</w:t>
            </w:r>
            <w:r w:rsidR="00067C28">
              <w:rPr>
                <w:sz w:val="20"/>
                <w:szCs w:val="20"/>
              </w:rPr>
              <w:t>.</w:t>
            </w:r>
          </w:p>
          <w:p w14:paraId="1312A174" w14:textId="03AAC888" w:rsidR="008E4DE3" w:rsidRPr="008E4DE3" w:rsidRDefault="008E4DE3" w:rsidP="008E4DE3">
            <w:pPr>
              <w:spacing w:line="276" w:lineRule="auto"/>
              <w:jc w:val="both"/>
              <w:rPr>
                <w:sz w:val="20"/>
                <w:szCs w:val="20"/>
              </w:rPr>
            </w:pPr>
            <w:r w:rsidRPr="008E4DE3">
              <w:rPr>
                <w:sz w:val="20"/>
                <w:szCs w:val="20"/>
              </w:rPr>
              <w:t>- Soutien aux actions spécifiques en faveur des jeunes handicapés ou encore allophones dans le cadre de classe ordinaire</w:t>
            </w:r>
            <w:r w:rsidR="00067C28">
              <w:rPr>
                <w:sz w:val="20"/>
                <w:szCs w:val="20"/>
              </w:rPr>
              <w:t>.</w:t>
            </w:r>
          </w:p>
          <w:p w14:paraId="4CC89503" w14:textId="4CFE7205" w:rsidR="008E4DE3" w:rsidRPr="008E4DE3" w:rsidRDefault="008E4DE3" w:rsidP="008E4DE3">
            <w:pPr>
              <w:spacing w:line="276" w:lineRule="auto"/>
              <w:jc w:val="both"/>
              <w:rPr>
                <w:sz w:val="20"/>
                <w:szCs w:val="20"/>
              </w:rPr>
            </w:pPr>
            <w:r w:rsidRPr="008E4DE3">
              <w:rPr>
                <w:sz w:val="20"/>
                <w:szCs w:val="20"/>
              </w:rPr>
              <w:t>- Soutien aux actions de remise à niveau de jeunes décrocheurs</w:t>
            </w:r>
            <w:r w:rsidR="00067C28">
              <w:rPr>
                <w:sz w:val="20"/>
                <w:szCs w:val="20"/>
              </w:rPr>
              <w:t>.</w:t>
            </w:r>
          </w:p>
          <w:p w14:paraId="460984EF" w14:textId="77777777" w:rsidR="008E4DE3" w:rsidRPr="008E4DE3" w:rsidRDefault="008E4DE3" w:rsidP="00A16DEE">
            <w:pPr>
              <w:spacing w:after="60" w:line="276" w:lineRule="auto"/>
              <w:jc w:val="both"/>
              <w:rPr>
                <w:sz w:val="20"/>
                <w:szCs w:val="20"/>
              </w:rPr>
            </w:pPr>
            <w:r w:rsidRPr="008E4DE3">
              <w:rPr>
                <w:sz w:val="20"/>
                <w:szCs w:val="20"/>
              </w:rPr>
              <w:t>- Soutien aux actions d’accompagnement à la construction et à la confirmation d’un projet professionnel.</w:t>
            </w:r>
          </w:p>
        </w:tc>
      </w:tr>
      <w:tr w:rsidR="008E4DE3" w:rsidRPr="008E4DE3" w14:paraId="1937BE9F" w14:textId="77777777" w:rsidTr="39C45D2B">
        <w:trPr>
          <w:trHeight w:val="693"/>
        </w:trPr>
        <w:tc>
          <w:tcPr>
            <w:tcW w:w="2557" w:type="dxa"/>
            <w:vAlign w:val="center"/>
          </w:tcPr>
          <w:p w14:paraId="32678F2D" w14:textId="77777777" w:rsidR="008E4DE3" w:rsidRPr="0048214D" w:rsidRDefault="008E4DE3" w:rsidP="39C45D2B">
            <w:pPr>
              <w:spacing w:line="276" w:lineRule="auto"/>
              <w:jc w:val="center"/>
              <w:rPr>
                <w:b/>
                <w:bCs/>
                <w:sz w:val="20"/>
                <w:szCs w:val="20"/>
              </w:rPr>
            </w:pPr>
            <w:r w:rsidRPr="0048214D">
              <w:rPr>
                <w:b/>
                <w:bCs/>
                <w:sz w:val="20"/>
                <w:szCs w:val="20"/>
              </w:rPr>
              <w:t>Porteurs de projets (groupes cibles)</w:t>
            </w:r>
          </w:p>
        </w:tc>
        <w:tc>
          <w:tcPr>
            <w:tcW w:w="8784" w:type="dxa"/>
            <w:gridSpan w:val="2"/>
          </w:tcPr>
          <w:p w14:paraId="49EC7F7F" w14:textId="36AF5EE7" w:rsidR="008E4DE3" w:rsidRPr="0048214D" w:rsidRDefault="008E4DE3" w:rsidP="39C45D2B">
            <w:pPr>
              <w:spacing w:before="120" w:line="276" w:lineRule="auto"/>
              <w:jc w:val="both"/>
              <w:rPr>
                <w:sz w:val="20"/>
                <w:szCs w:val="20"/>
              </w:rPr>
            </w:pPr>
            <w:r w:rsidRPr="0048214D">
              <w:rPr>
                <w:sz w:val="20"/>
                <w:szCs w:val="20"/>
              </w:rPr>
              <w:t xml:space="preserve">- EPLE, </w:t>
            </w:r>
            <w:r w:rsidR="00514D70" w:rsidRPr="0048214D">
              <w:rPr>
                <w:sz w:val="20"/>
                <w:szCs w:val="20"/>
              </w:rPr>
              <w:t xml:space="preserve">chambres </w:t>
            </w:r>
            <w:r w:rsidRPr="0048214D">
              <w:rPr>
                <w:sz w:val="20"/>
                <w:szCs w:val="20"/>
              </w:rPr>
              <w:t>consulaires</w:t>
            </w:r>
            <w:r w:rsidR="00067C28" w:rsidRPr="0048214D">
              <w:rPr>
                <w:sz w:val="20"/>
                <w:szCs w:val="20"/>
              </w:rPr>
              <w:t>.</w:t>
            </w:r>
          </w:p>
          <w:p w14:paraId="10E4164A" w14:textId="351C2028" w:rsidR="008E4DE3" w:rsidRPr="0048214D" w:rsidRDefault="008E4DE3" w:rsidP="39C45D2B">
            <w:pPr>
              <w:spacing w:after="120" w:line="276" w:lineRule="auto"/>
              <w:jc w:val="both"/>
              <w:rPr>
                <w:sz w:val="20"/>
                <w:szCs w:val="20"/>
              </w:rPr>
            </w:pPr>
            <w:r w:rsidRPr="0048214D">
              <w:rPr>
                <w:sz w:val="20"/>
                <w:szCs w:val="20"/>
              </w:rPr>
              <w:t>- Organismes de formation</w:t>
            </w:r>
            <w:r w:rsidR="4E3F3576" w:rsidRPr="0048214D">
              <w:rPr>
                <w:sz w:val="20"/>
                <w:szCs w:val="20"/>
              </w:rPr>
              <w:t xml:space="preserve"> enregistrés au R</w:t>
            </w:r>
            <w:r w:rsidR="009E0F0D" w:rsidRPr="0048214D">
              <w:rPr>
                <w:sz w:val="20"/>
                <w:szCs w:val="20"/>
              </w:rPr>
              <w:t xml:space="preserve">egistre national des </w:t>
            </w:r>
            <w:r w:rsidR="00277452" w:rsidRPr="0048214D">
              <w:rPr>
                <w:sz w:val="20"/>
                <w:szCs w:val="20"/>
              </w:rPr>
              <w:t>certifications professionnelles (C</w:t>
            </w:r>
            <w:r w:rsidR="4E3F3576" w:rsidRPr="0048214D">
              <w:rPr>
                <w:sz w:val="20"/>
                <w:szCs w:val="20"/>
              </w:rPr>
              <w:t>NCP</w:t>
            </w:r>
            <w:r w:rsidR="00277452" w:rsidRPr="0048214D">
              <w:rPr>
                <w:sz w:val="20"/>
                <w:szCs w:val="20"/>
              </w:rPr>
              <w:t>)</w:t>
            </w:r>
            <w:r w:rsidRPr="0048214D">
              <w:rPr>
                <w:sz w:val="20"/>
                <w:szCs w:val="20"/>
              </w:rPr>
              <w:t>, établissements publics</w:t>
            </w:r>
            <w:r w:rsidR="2FFCBA71" w:rsidRPr="0048214D">
              <w:rPr>
                <w:sz w:val="20"/>
                <w:szCs w:val="20"/>
              </w:rPr>
              <w:t xml:space="preserve"> d’enseignement supérieur.</w:t>
            </w:r>
          </w:p>
        </w:tc>
      </w:tr>
      <w:tr w:rsidR="008E4DE3" w:rsidRPr="008E4DE3" w14:paraId="5C52C526" w14:textId="77777777" w:rsidTr="39C45D2B">
        <w:trPr>
          <w:trHeight w:val="693"/>
        </w:trPr>
        <w:tc>
          <w:tcPr>
            <w:tcW w:w="2557" w:type="dxa"/>
            <w:vAlign w:val="center"/>
          </w:tcPr>
          <w:p w14:paraId="0A9893E9" w14:textId="77777777" w:rsidR="008E4DE3" w:rsidRPr="008E4DE3" w:rsidRDefault="008E4DE3" w:rsidP="008E4DE3">
            <w:pPr>
              <w:spacing w:line="276" w:lineRule="auto"/>
              <w:jc w:val="center"/>
              <w:rPr>
                <w:b/>
                <w:bCs/>
                <w:sz w:val="20"/>
                <w:szCs w:val="20"/>
              </w:rPr>
            </w:pPr>
            <w:r w:rsidRPr="008E4DE3">
              <w:rPr>
                <w:b/>
                <w:bCs/>
                <w:sz w:val="20"/>
                <w:szCs w:val="20"/>
              </w:rPr>
              <w:t>Publics éligibles</w:t>
            </w:r>
          </w:p>
        </w:tc>
        <w:tc>
          <w:tcPr>
            <w:tcW w:w="8784" w:type="dxa"/>
            <w:gridSpan w:val="2"/>
          </w:tcPr>
          <w:p w14:paraId="1A6F0353" w14:textId="54A9B116" w:rsidR="008E4DE3" w:rsidRPr="00655879" w:rsidRDefault="008E4DE3" w:rsidP="00655879">
            <w:pPr>
              <w:spacing w:before="120" w:line="276" w:lineRule="auto"/>
              <w:jc w:val="both"/>
              <w:rPr>
                <w:sz w:val="20"/>
                <w:szCs w:val="20"/>
              </w:rPr>
            </w:pPr>
            <w:r w:rsidRPr="00655879">
              <w:rPr>
                <w:sz w:val="20"/>
                <w:szCs w:val="20"/>
              </w:rPr>
              <w:t>- Jeunes présentant des risques de décrochage</w:t>
            </w:r>
            <w:r w:rsidR="360632E4" w:rsidRPr="00655879">
              <w:rPr>
                <w:sz w:val="20"/>
                <w:szCs w:val="20"/>
              </w:rPr>
              <w:t xml:space="preserve"> scolaire</w:t>
            </w:r>
            <w:r w:rsidRPr="00655879">
              <w:rPr>
                <w:sz w:val="20"/>
                <w:szCs w:val="20"/>
              </w:rPr>
              <w:t xml:space="preserve"> </w:t>
            </w:r>
            <w:r w:rsidR="004079E7" w:rsidRPr="00655879">
              <w:rPr>
                <w:sz w:val="20"/>
                <w:szCs w:val="20"/>
              </w:rPr>
              <w:t>dans l’enseignement supérieur</w:t>
            </w:r>
            <w:r w:rsidR="00067C28" w:rsidRPr="00655879">
              <w:rPr>
                <w:sz w:val="20"/>
                <w:szCs w:val="20"/>
              </w:rPr>
              <w:t>.</w:t>
            </w:r>
          </w:p>
          <w:p w14:paraId="57A4FE0B" w14:textId="207A1BAE" w:rsidR="004079E7" w:rsidRPr="00655879" w:rsidRDefault="008E4DE3" w:rsidP="00655879">
            <w:pPr>
              <w:spacing w:line="276" w:lineRule="auto"/>
              <w:jc w:val="both"/>
              <w:rPr>
                <w:sz w:val="20"/>
                <w:szCs w:val="20"/>
              </w:rPr>
            </w:pPr>
            <w:r w:rsidRPr="00655879">
              <w:rPr>
                <w:sz w:val="20"/>
                <w:szCs w:val="20"/>
              </w:rPr>
              <w:t>- Jeunes en situation de décrochage</w:t>
            </w:r>
            <w:r w:rsidR="74B666AC" w:rsidRPr="00655879">
              <w:rPr>
                <w:sz w:val="20"/>
                <w:szCs w:val="20"/>
              </w:rPr>
              <w:t xml:space="preserve"> scolaire</w:t>
            </w:r>
            <w:r w:rsidRPr="00655879">
              <w:rPr>
                <w:sz w:val="20"/>
                <w:szCs w:val="20"/>
              </w:rPr>
              <w:t xml:space="preserve"> </w:t>
            </w:r>
            <w:r w:rsidR="004079E7" w:rsidRPr="00655879">
              <w:rPr>
                <w:sz w:val="20"/>
                <w:szCs w:val="20"/>
              </w:rPr>
              <w:t>dans l’enseignement supérieur.</w:t>
            </w:r>
          </w:p>
          <w:p w14:paraId="73BE0856" w14:textId="77777777" w:rsidR="008E4DE3" w:rsidRPr="00655879" w:rsidRDefault="008E4DE3" w:rsidP="00D73752">
            <w:pPr>
              <w:spacing w:before="60" w:after="80" w:line="276" w:lineRule="auto"/>
              <w:jc w:val="both"/>
              <w:rPr>
                <w:sz w:val="20"/>
                <w:szCs w:val="20"/>
              </w:rPr>
            </w:pPr>
            <w:r w:rsidRPr="00655879">
              <w:rPr>
                <w:sz w:val="20"/>
                <w:szCs w:val="20"/>
              </w:rPr>
              <w:t>La définition des publics éligibles et les pièces justificatives à fournir sont indiquées dans la Fiche méthode 3 « </w:t>
            </w:r>
            <w:r w:rsidRPr="00655879">
              <w:rPr>
                <w:i/>
                <w:iCs/>
                <w:sz w:val="20"/>
                <w:szCs w:val="20"/>
              </w:rPr>
              <w:t>les justificatifs participants et destinataires finaux</w:t>
            </w:r>
            <w:r w:rsidRPr="00655879">
              <w:rPr>
                <w:sz w:val="20"/>
                <w:szCs w:val="20"/>
              </w:rPr>
              <w:t> ».</w:t>
            </w:r>
          </w:p>
        </w:tc>
      </w:tr>
      <w:tr w:rsidR="008E4DE3" w:rsidRPr="008E4DE3" w14:paraId="6B9F5CCA" w14:textId="77777777" w:rsidTr="39C45D2B">
        <w:trPr>
          <w:trHeight w:val="366"/>
        </w:trPr>
        <w:tc>
          <w:tcPr>
            <w:tcW w:w="2557" w:type="dxa"/>
            <w:vAlign w:val="center"/>
          </w:tcPr>
          <w:p w14:paraId="6E623106" w14:textId="77777777" w:rsidR="008E4DE3" w:rsidRPr="008E4DE3" w:rsidRDefault="008E4DE3" w:rsidP="008E4DE3">
            <w:pPr>
              <w:spacing w:line="276" w:lineRule="auto"/>
              <w:jc w:val="center"/>
              <w:rPr>
                <w:b/>
                <w:bCs/>
                <w:sz w:val="20"/>
                <w:szCs w:val="20"/>
              </w:rPr>
            </w:pPr>
          </w:p>
          <w:p w14:paraId="47FF9470" w14:textId="77777777" w:rsidR="008E4DE3" w:rsidRPr="008E4DE3" w:rsidRDefault="008E4DE3" w:rsidP="008E4DE3">
            <w:pPr>
              <w:spacing w:line="276" w:lineRule="auto"/>
              <w:jc w:val="center"/>
              <w:rPr>
                <w:b/>
                <w:bCs/>
                <w:sz w:val="20"/>
                <w:szCs w:val="20"/>
              </w:rPr>
            </w:pPr>
            <w:r w:rsidRPr="008E4DE3">
              <w:rPr>
                <w:b/>
                <w:bCs/>
                <w:sz w:val="20"/>
                <w:szCs w:val="20"/>
              </w:rPr>
              <w:t>Temporalité</w:t>
            </w:r>
          </w:p>
          <w:p w14:paraId="32EE5DD6" w14:textId="77777777" w:rsidR="008E4DE3" w:rsidRPr="008E4DE3" w:rsidRDefault="008E4DE3" w:rsidP="008E4DE3">
            <w:pPr>
              <w:spacing w:line="276" w:lineRule="auto"/>
              <w:jc w:val="center"/>
              <w:rPr>
                <w:b/>
                <w:bCs/>
                <w:sz w:val="20"/>
                <w:szCs w:val="20"/>
              </w:rPr>
            </w:pPr>
          </w:p>
        </w:tc>
        <w:tc>
          <w:tcPr>
            <w:tcW w:w="8784" w:type="dxa"/>
            <w:gridSpan w:val="2"/>
            <w:vAlign w:val="center"/>
          </w:tcPr>
          <w:p w14:paraId="7D92A9B7" w14:textId="312518AF" w:rsidR="008E4DE3" w:rsidRPr="00655879" w:rsidRDefault="008E4DE3" w:rsidP="00A16DEE">
            <w:pPr>
              <w:spacing w:before="60" w:line="276" w:lineRule="auto"/>
              <w:jc w:val="both"/>
              <w:rPr>
                <w:b/>
                <w:bCs/>
                <w:sz w:val="20"/>
                <w:szCs w:val="20"/>
              </w:rPr>
            </w:pPr>
            <w:r w:rsidRPr="00655879">
              <w:rPr>
                <w:sz w:val="20"/>
                <w:szCs w:val="20"/>
              </w:rPr>
              <w:t xml:space="preserve">Réalisation des opérations </w:t>
            </w:r>
            <w:r w:rsidRPr="00655879">
              <w:rPr>
                <w:b/>
                <w:bCs/>
                <w:sz w:val="20"/>
                <w:szCs w:val="20"/>
              </w:rPr>
              <w:t>à partir du 1</w:t>
            </w:r>
            <w:r w:rsidRPr="00655879">
              <w:rPr>
                <w:b/>
                <w:bCs/>
                <w:sz w:val="20"/>
                <w:szCs w:val="20"/>
                <w:vertAlign w:val="superscript"/>
              </w:rPr>
              <w:t>er</w:t>
            </w:r>
            <w:r w:rsidRPr="00655879">
              <w:rPr>
                <w:b/>
                <w:bCs/>
                <w:sz w:val="20"/>
                <w:szCs w:val="20"/>
              </w:rPr>
              <w:t xml:space="preserve"> janvier 202</w:t>
            </w:r>
            <w:r w:rsidR="192D154E" w:rsidRPr="00655879">
              <w:rPr>
                <w:b/>
                <w:bCs/>
                <w:sz w:val="20"/>
                <w:szCs w:val="20"/>
              </w:rPr>
              <w:t>3</w:t>
            </w:r>
            <w:r w:rsidRPr="00655879">
              <w:rPr>
                <w:b/>
                <w:bCs/>
                <w:sz w:val="20"/>
                <w:szCs w:val="20"/>
              </w:rPr>
              <w:t>.</w:t>
            </w:r>
          </w:p>
          <w:p w14:paraId="7E85BC8D" w14:textId="77777777" w:rsidR="008E4DE3" w:rsidRPr="00655879" w:rsidRDefault="008E4DE3" w:rsidP="006D5622">
            <w:pPr>
              <w:spacing w:after="60" w:line="276" w:lineRule="auto"/>
              <w:jc w:val="both"/>
              <w:rPr>
                <w:sz w:val="20"/>
                <w:szCs w:val="20"/>
              </w:rPr>
            </w:pPr>
            <w:r w:rsidRPr="00655879">
              <w:rPr>
                <w:sz w:val="20"/>
                <w:szCs w:val="20"/>
              </w:rPr>
              <w:t xml:space="preserve">Durée de réalisation de l’opération : </w:t>
            </w:r>
            <w:r w:rsidRPr="00655879">
              <w:rPr>
                <w:b/>
                <w:bCs/>
                <w:sz w:val="20"/>
                <w:szCs w:val="20"/>
              </w:rPr>
              <w:t>entre 12 et 48 mois</w:t>
            </w:r>
            <w:r w:rsidRPr="00655879">
              <w:rPr>
                <w:sz w:val="20"/>
                <w:szCs w:val="20"/>
              </w:rPr>
              <w:t xml:space="preserve"> sauf dérogation exceptionnelle justifiée par l’AG.</w:t>
            </w:r>
          </w:p>
        </w:tc>
      </w:tr>
      <w:tr w:rsidR="008E4DE3" w:rsidRPr="008E4DE3" w14:paraId="5CBA437A" w14:textId="77777777" w:rsidTr="39C45D2B">
        <w:trPr>
          <w:trHeight w:val="366"/>
        </w:trPr>
        <w:tc>
          <w:tcPr>
            <w:tcW w:w="2557" w:type="dxa"/>
            <w:vAlign w:val="center"/>
          </w:tcPr>
          <w:p w14:paraId="5BB79D0E" w14:textId="77777777" w:rsidR="008E4DE3" w:rsidRPr="008E4DE3" w:rsidRDefault="008E4DE3" w:rsidP="008E4DE3">
            <w:pPr>
              <w:spacing w:line="276" w:lineRule="auto"/>
              <w:jc w:val="center"/>
              <w:rPr>
                <w:b/>
                <w:bCs/>
                <w:sz w:val="20"/>
                <w:szCs w:val="20"/>
              </w:rPr>
            </w:pPr>
            <w:r w:rsidRPr="008E4DE3">
              <w:rPr>
                <w:b/>
                <w:bCs/>
                <w:sz w:val="20"/>
                <w:szCs w:val="20"/>
              </w:rPr>
              <w:t>Périmètre géographique</w:t>
            </w:r>
          </w:p>
        </w:tc>
        <w:tc>
          <w:tcPr>
            <w:tcW w:w="8784" w:type="dxa"/>
            <w:gridSpan w:val="2"/>
            <w:vAlign w:val="center"/>
          </w:tcPr>
          <w:p w14:paraId="2E10FCAD" w14:textId="77777777" w:rsidR="008E4DE3" w:rsidRPr="008E4DE3" w:rsidRDefault="008E4DE3" w:rsidP="00D73752">
            <w:pPr>
              <w:spacing w:before="60" w:after="60" w:line="276" w:lineRule="auto"/>
              <w:jc w:val="both"/>
              <w:rPr>
                <w:sz w:val="20"/>
                <w:szCs w:val="20"/>
              </w:rPr>
            </w:pPr>
            <w:r w:rsidRPr="008E4DE3">
              <w:rPr>
                <w:sz w:val="20"/>
                <w:szCs w:val="20"/>
              </w:rPr>
              <w:t xml:space="preserve">Île-de-France. </w:t>
            </w:r>
          </w:p>
        </w:tc>
      </w:tr>
      <w:tr w:rsidR="008E4DE3" w:rsidRPr="008E4DE3" w14:paraId="7FF6C006" w14:textId="77777777" w:rsidTr="39C45D2B">
        <w:trPr>
          <w:trHeight w:val="366"/>
        </w:trPr>
        <w:tc>
          <w:tcPr>
            <w:tcW w:w="2557" w:type="dxa"/>
            <w:vAlign w:val="center"/>
          </w:tcPr>
          <w:p w14:paraId="70BB75DC" w14:textId="77777777" w:rsidR="008E4DE3" w:rsidRPr="008E4DE3" w:rsidRDefault="008E4DE3" w:rsidP="008E4DE3">
            <w:pPr>
              <w:spacing w:line="276" w:lineRule="auto"/>
              <w:jc w:val="center"/>
              <w:rPr>
                <w:b/>
                <w:bCs/>
                <w:sz w:val="20"/>
                <w:szCs w:val="20"/>
              </w:rPr>
            </w:pPr>
            <w:r w:rsidRPr="008E4DE3">
              <w:rPr>
                <w:b/>
                <w:bCs/>
                <w:sz w:val="20"/>
                <w:szCs w:val="20"/>
              </w:rPr>
              <w:t>Mode de financement</w:t>
            </w:r>
          </w:p>
        </w:tc>
        <w:tc>
          <w:tcPr>
            <w:tcW w:w="8784" w:type="dxa"/>
            <w:gridSpan w:val="2"/>
            <w:vAlign w:val="center"/>
          </w:tcPr>
          <w:p w14:paraId="62A57141" w14:textId="77777777" w:rsidR="008E4DE3" w:rsidRPr="008E4DE3" w:rsidRDefault="008E4DE3" w:rsidP="00D73752">
            <w:pPr>
              <w:spacing w:before="60" w:after="60" w:line="276" w:lineRule="auto"/>
              <w:jc w:val="both"/>
              <w:rPr>
                <w:sz w:val="20"/>
                <w:szCs w:val="20"/>
              </w:rPr>
            </w:pPr>
            <w:r w:rsidRPr="008E4DE3">
              <w:rPr>
                <w:sz w:val="20"/>
                <w:szCs w:val="20"/>
              </w:rPr>
              <w:t xml:space="preserve">Subvention. </w:t>
            </w:r>
          </w:p>
        </w:tc>
      </w:tr>
      <w:tr w:rsidR="008E4DE3" w:rsidRPr="008E4DE3" w14:paraId="36F1E770" w14:textId="77777777" w:rsidTr="39C45D2B">
        <w:trPr>
          <w:trHeight w:val="1125"/>
        </w:trPr>
        <w:tc>
          <w:tcPr>
            <w:tcW w:w="2557" w:type="dxa"/>
            <w:vAlign w:val="center"/>
          </w:tcPr>
          <w:p w14:paraId="38319839" w14:textId="77777777" w:rsidR="008E4DE3" w:rsidRPr="008E4DE3" w:rsidRDefault="008E4DE3" w:rsidP="008E4DE3">
            <w:pPr>
              <w:spacing w:line="276" w:lineRule="auto"/>
              <w:jc w:val="center"/>
              <w:rPr>
                <w:b/>
                <w:bCs/>
                <w:sz w:val="20"/>
                <w:szCs w:val="20"/>
              </w:rPr>
            </w:pPr>
            <w:r w:rsidRPr="008E4DE3">
              <w:rPr>
                <w:b/>
                <w:bCs/>
                <w:sz w:val="20"/>
                <w:szCs w:val="20"/>
              </w:rPr>
              <w:t>Prise en compte</w:t>
            </w:r>
          </w:p>
          <w:p w14:paraId="61A987DD" w14:textId="77777777" w:rsidR="008E4DE3" w:rsidRPr="008E4DE3" w:rsidRDefault="008E4DE3" w:rsidP="008E4DE3">
            <w:pPr>
              <w:spacing w:line="276" w:lineRule="auto"/>
              <w:jc w:val="center"/>
              <w:rPr>
                <w:b/>
                <w:bCs/>
                <w:sz w:val="20"/>
                <w:szCs w:val="20"/>
              </w:rPr>
            </w:pPr>
            <w:r w:rsidRPr="008E4DE3">
              <w:rPr>
                <w:b/>
                <w:bCs/>
                <w:sz w:val="20"/>
                <w:szCs w:val="20"/>
              </w:rPr>
              <w:t>des priorités transversales</w:t>
            </w:r>
          </w:p>
        </w:tc>
        <w:tc>
          <w:tcPr>
            <w:tcW w:w="8784" w:type="dxa"/>
            <w:gridSpan w:val="2"/>
          </w:tcPr>
          <w:p w14:paraId="3FCE1C3A" w14:textId="77777777" w:rsidR="008E4DE3" w:rsidRPr="008E4DE3" w:rsidRDefault="008E4DE3" w:rsidP="00067C28">
            <w:pPr>
              <w:spacing w:before="120" w:line="276" w:lineRule="auto"/>
              <w:jc w:val="both"/>
              <w:rPr>
                <w:sz w:val="20"/>
                <w:szCs w:val="20"/>
              </w:rPr>
            </w:pPr>
            <w:r w:rsidRPr="008E4DE3">
              <w:rPr>
                <w:sz w:val="20"/>
                <w:szCs w:val="20"/>
              </w:rPr>
              <w:t xml:space="preserve">L’opération doit contribuer aux quatre priorités transversales suivantes : </w:t>
            </w:r>
          </w:p>
          <w:p w14:paraId="611DA8F9" w14:textId="77777777" w:rsidR="008E4DE3" w:rsidRPr="008E4DE3" w:rsidRDefault="008E4DE3" w:rsidP="008E4DE3">
            <w:pPr>
              <w:spacing w:line="276" w:lineRule="auto"/>
              <w:jc w:val="both"/>
              <w:rPr>
                <w:sz w:val="20"/>
                <w:szCs w:val="20"/>
              </w:rPr>
            </w:pPr>
            <w:r w:rsidRPr="008E4DE3">
              <w:rPr>
                <w:sz w:val="20"/>
                <w:szCs w:val="20"/>
              </w:rPr>
              <w:t>- veiller au respect des droits fondamentaux et à la conformité avec la Charte des droits fondamentaux de l’Union européenne lors de la mise en œuvre des fonds ;</w:t>
            </w:r>
          </w:p>
          <w:p w14:paraId="3A972D70" w14:textId="77777777" w:rsidR="00864C1B" w:rsidRDefault="008E4DE3" w:rsidP="008E4DE3">
            <w:pPr>
              <w:spacing w:line="276" w:lineRule="auto"/>
              <w:jc w:val="both"/>
              <w:rPr>
                <w:sz w:val="20"/>
                <w:szCs w:val="20"/>
              </w:rPr>
            </w:pPr>
            <w:r w:rsidRPr="008E4DE3">
              <w:rPr>
                <w:sz w:val="20"/>
                <w:szCs w:val="20"/>
              </w:rPr>
              <w:t>- prendre en compte et favoriser l’égalité entre les hommes et les femmes, l’intégration des questions d’égalité entre les hommes et les femmes et l’intégration de la dimension de genre ;</w:t>
            </w:r>
          </w:p>
          <w:p w14:paraId="77A65005" w14:textId="716E4B38" w:rsidR="00864C1B" w:rsidRPr="008E4DE3" w:rsidRDefault="008E4DE3" w:rsidP="008E4DE3">
            <w:pPr>
              <w:spacing w:line="276" w:lineRule="auto"/>
              <w:jc w:val="both"/>
              <w:rPr>
                <w:sz w:val="20"/>
                <w:szCs w:val="20"/>
              </w:rPr>
            </w:pPr>
            <w:r w:rsidRPr="008E4DE3">
              <w:rPr>
                <w:sz w:val="20"/>
                <w:szCs w:val="20"/>
              </w:rPr>
              <w:t>- prévenir toute discrimination fondée sur le sexe, l’origine raciale ou ethnique, la religion ou les convictions, le handicap (notamment par la prise en compte de l’accessibilité pour les personnes handicapées), l’âge ou l’orientation sexuelle ;</w:t>
            </w:r>
          </w:p>
          <w:p w14:paraId="3B409070" w14:textId="766C8285" w:rsidR="002167A0" w:rsidRPr="002167A0" w:rsidRDefault="008E4DE3" w:rsidP="00D73752">
            <w:pPr>
              <w:tabs>
                <w:tab w:val="left" w:pos="708"/>
                <w:tab w:val="left" w:pos="1416"/>
                <w:tab w:val="left" w:pos="2124"/>
                <w:tab w:val="left" w:pos="2832"/>
                <w:tab w:val="left" w:pos="3540"/>
                <w:tab w:val="left" w:pos="4248"/>
                <w:tab w:val="left" w:pos="6643"/>
              </w:tabs>
              <w:spacing w:after="80" w:line="276" w:lineRule="auto"/>
              <w:jc w:val="both"/>
              <w:rPr>
                <w:sz w:val="20"/>
                <w:szCs w:val="20"/>
              </w:rPr>
            </w:pPr>
            <w:r w:rsidRPr="008E4DE3">
              <w:rPr>
                <w:sz w:val="20"/>
                <w:szCs w:val="20"/>
              </w:rPr>
              <w:t>- promouvoir le développement durable</w:t>
            </w:r>
            <w:r w:rsidR="00D0471B">
              <w:rPr>
                <w:sz w:val="20"/>
                <w:szCs w:val="20"/>
              </w:rPr>
              <w:t>.</w:t>
            </w:r>
            <w:r w:rsidR="0055314B">
              <w:rPr>
                <w:sz w:val="20"/>
                <w:szCs w:val="20"/>
              </w:rPr>
              <w:tab/>
            </w:r>
            <w:r w:rsidR="002C789B">
              <w:rPr>
                <w:sz w:val="20"/>
                <w:szCs w:val="20"/>
              </w:rPr>
              <w:tab/>
            </w:r>
            <w:r w:rsidR="00234997">
              <w:rPr>
                <w:sz w:val="20"/>
                <w:szCs w:val="20"/>
              </w:rPr>
              <w:tab/>
            </w:r>
          </w:p>
        </w:tc>
      </w:tr>
      <w:tr w:rsidR="008E4DE3" w:rsidRPr="008E4DE3" w14:paraId="0CFDEA70" w14:textId="77777777" w:rsidTr="39C45D2B">
        <w:trPr>
          <w:trHeight w:val="269"/>
        </w:trPr>
        <w:tc>
          <w:tcPr>
            <w:tcW w:w="2557" w:type="dxa"/>
            <w:vAlign w:val="center"/>
          </w:tcPr>
          <w:p w14:paraId="794889DA" w14:textId="77777777" w:rsidR="008E4DE3" w:rsidRPr="008E4DE3" w:rsidRDefault="008E4DE3" w:rsidP="008E4DE3">
            <w:pPr>
              <w:spacing w:line="276" w:lineRule="auto"/>
              <w:jc w:val="center"/>
              <w:rPr>
                <w:b/>
                <w:bCs/>
                <w:sz w:val="20"/>
                <w:szCs w:val="20"/>
              </w:rPr>
            </w:pPr>
            <w:r w:rsidRPr="008E4DE3">
              <w:rPr>
                <w:b/>
                <w:bCs/>
                <w:sz w:val="20"/>
                <w:szCs w:val="20"/>
              </w:rPr>
              <w:lastRenderedPageBreak/>
              <w:t>Analyse de la faisabilité</w:t>
            </w:r>
          </w:p>
        </w:tc>
        <w:tc>
          <w:tcPr>
            <w:tcW w:w="8784" w:type="dxa"/>
            <w:gridSpan w:val="2"/>
          </w:tcPr>
          <w:p w14:paraId="6EDD6C0D" w14:textId="77777777" w:rsidR="008E4DE3" w:rsidRPr="008E4DE3" w:rsidRDefault="008E4DE3" w:rsidP="00943450">
            <w:pPr>
              <w:spacing w:before="120" w:line="276" w:lineRule="auto"/>
              <w:jc w:val="both"/>
              <w:rPr>
                <w:sz w:val="20"/>
                <w:szCs w:val="20"/>
              </w:rPr>
            </w:pPr>
            <w:r w:rsidRPr="008E4DE3">
              <w:rPr>
                <w:sz w:val="20"/>
                <w:szCs w:val="20"/>
              </w:rPr>
              <w:t>La faisabilité de l’opération est analysée au regard de :</w:t>
            </w:r>
          </w:p>
          <w:p w14:paraId="3F87124D" w14:textId="77777777" w:rsidR="008E4DE3" w:rsidRPr="008E4DE3" w:rsidRDefault="008E4DE3" w:rsidP="008E4DE3">
            <w:pPr>
              <w:spacing w:line="276" w:lineRule="auto"/>
              <w:jc w:val="both"/>
              <w:rPr>
                <w:sz w:val="20"/>
                <w:szCs w:val="20"/>
              </w:rPr>
            </w:pPr>
            <w:r w:rsidRPr="008E4DE3">
              <w:rPr>
                <w:sz w:val="20"/>
                <w:szCs w:val="20"/>
              </w:rPr>
              <w:t>- la capacité financière de l’opérateur à avancer les dépenses dans l’attente du remboursement de l’aide FSE+ ;</w:t>
            </w:r>
          </w:p>
          <w:p w14:paraId="3BD5FD3F" w14:textId="77777777" w:rsidR="008E4DE3" w:rsidRPr="008E4DE3" w:rsidRDefault="008E4DE3" w:rsidP="008E4DE3">
            <w:pPr>
              <w:spacing w:line="276" w:lineRule="auto"/>
              <w:jc w:val="both"/>
              <w:rPr>
                <w:sz w:val="20"/>
                <w:szCs w:val="20"/>
              </w:rPr>
            </w:pPr>
            <w:r w:rsidRPr="008E4DE3">
              <w:rPr>
                <w:sz w:val="20"/>
                <w:szCs w:val="20"/>
              </w:rPr>
              <w:t>- la capacité de l’opérateur à mettre en œuvre les moyens nécessaires, humains et administratifs, pour assurer la bonne gestion de l’aide FSE+ ;</w:t>
            </w:r>
          </w:p>
          <w:p w14:paraId="1B613B99" w14:textId="77777777" w:rsidR="008E4DE3" w:rsidRPr="008E4DE3" w:rsidRDefault="008E4DE3" w:rsidP="008E4DE3">
            <w:pPr>
              <w:spacing w:line="276" w:lineRule="auto"/>
              <w:jc w:val="both"/>
              <w:rPr>
                <w:sz w:val="20"/>
                <w:szCs w:val="20"/>
              </w:rPr>
            </w:pPr>
            <w:r w:rsidRPr="008E4DE3">
              <w:rPr>
                <w:sz w:val="20"/>
                <w:szCs w:val="20"/>
              </w:rPr>
              <w:t>- la capacité de l’opérateur à respecter les obligations communautaires en termes de publicité ;</w:t>
            </w:r>
          </w:p>
          <w:p w14:paraId="7C380AA9" w14:textId="77777777" w:rsidR="008E4DE3" w:rsidRPr="008E4DE3" w:rsidRDefault="008E4DE3" w:rsidP="00943450">
            <w:pPr>
              <w:spacing w:after="120" w:line="276" w:lineRule="auto"/>
              <w:jc w:val="both"/>
              <w:rPr>
                <w:sz w:val="20"/>
                <w:szCs w:val="20"/>
              </w:rPr>
            </w:pPr>
            <w:r w:rsidRPr="008E4DE3">
              <w:rPr>
                <w:sz w:val="20"/>
                <w:szCs w:val="20"/>
              </w:rPr>
              <w:t>- la capacité de l’opérateur à contribuer à l’atteinte des indicateurs de réalisation et de résultat.</w:t>
            </w:r>
          </w:p>
        </w:tc>
      </w:tr>
      <w:tr w:rsidR="008E4DE3" w:rsidRPr="008E4DE3" w14:paraId="12BD750A" w14:textId="77777777" w:rsidTr="39C45D2B">
        <w:trPr>
          <w:trHeight w:val="553"/>
        </w:trPr>
        <w:tc>
          <w:tcPr>
            <w:tcW w:w="11341" w:type="dxa"/>
            <w:gridSpan w:val="3"/>
            <w:shd w:val="clear" w:color="auto" w:fill="B4C6E7" w:themeFill="accent1" w:themeFillTint="66"/>
            <w:vAlign w:val="center"/>
          </w:tcPr>
          <w:p w14:paraId="041773AD" w14:textId="77777777" w:rsidR="008E4DE3" w:rsidRPr="008E4DE3" w:rsidRDefault="008E4DE3" w:rsidP="008E4DE3">
            <w:pPr>
              <w:spacing w:line="276" w:lineRule="auto"/>
              <w:jc w:val="center"/>
              <w:rPr>
                <w:b/>
                <w:bCs/>
              </w:rPr>
            </w:pPr>
            <w:r w:rsidRPr="008E4DE3">
              <w:rPr>
                <w:b/>
                <w:bCs/>
                <w:sz w:val="28"/>
                <w:szCs w:val="28"/>
              </w:rPr>
              <w:t>Modalités de mise en œuvre</w:t>
            </w:r>
          </w:p>
        </w:tc>
      </w:tr>
      <w:tr w:rsidR="008E4DE3" w:rsidRPr="008E4DE3" w14:paraId="158F6D55" w14:textId="77777777" w:rsidTr="39C45D2B">
        <w:trPr>
          <w:trHeight w:val="478"/>
        </w:trPr>
        <w:tc>
          <w:tcPr>
            <w:tcW w:w="2557" w:type="dxa"/>
            <w:vAlign w:val="center"/>
          </w:tcPr>
          <w:p w14:paraId="093FB529" w14:textId="77777777" w:rsidR="008E4DE3" w:rsidRPr="008E4DE3" w:rsidRDefault="008E4DE3" w:rsidP="008E4DE3">
            <w:pPr>
              <w:spacing w:line="276" w:lineRule="auto"/>
              <w:jc w:val="center"/>
              <w:rPr>
                <w:b/>
                <w:bCs/>
                <w:sz w:val="20"/>
                <w:szCs w:val="20"/>
              </w:rPr>
            </w:pPr>
            <w:r w:rsidRPr="008E4DE3">
              <w:rPr>
                <w:b/>
                <w:bCs/>
                <w:sz w:val="20"/>
                <w:szCs w:val="20"/>
              </w:rPr>
              <w:t>Taux d’intervention FSE+</w:t>
            </w:r>
          </w:p>
        </w:tc>
        <w:tc>
          <w:tcPr>
            <w:tcW w:w="8784" w:type="dxa"/>
            <w:gridSpan w:val="2"/>
            <w:vAlign w:val="center"/>
          </w:tcPr>
          <w:p w14:paraId="6C15A608" w14:textId="77777777" w:rsidR="008E4DE3" w:rsidRPr="008E4DE3" w:rsidRDefault="008E4DE3" w:rsidP="00943450">
            <w:pPr>
              <w:spacing w:before="120" w:after="120" w:line="276" w:lineRule="auto"/>
              <w:jc w:val="both"/>
              <w:rPr>
                <w:vertAlign w:val="superscript"/>
              </w:rPr>
            </w:pPr>
            <w:r w:rsidRPr="008E4DE3">
              <w:rPr>
                <w:sz w:val="20"/>
                <w:szCs w:val="20"/>
              </w:rPr>
              <w:t>Le taux d’intervention du FSE+ doit être compris entre 30 % minimum et 40 % maximum du coût total éligible de l’opération au moment du dépôt de la demande de subvention et à l’issue de l’instruction après ajustement éventuel du plan de financement. Un taux différent pourra éventuellement être appliqué sur dérogation expresse de l’autorité de gestion.</w:t>
            </w:r>
          </w:p>
        </w:tc>
      </w:tr>
      <w:tr w:rsidR="008E4DE3" w:rsidRPr="008E4DE3" w14:paraId="20805582" w14:textId="77777777" w:rsidTr="39C45D2B">
        <w:trPr>
          <w:trHeight w:val="478"/>
        </w:trPr>
        <w:tc>
          <w:tcPr>
            <w:tcW w:w="2557" w:type="dxa"/>
            <w:vAlign w:val="center"/>
          </w:tcPr>
          <w:p w14:paraId="3A620310" w14:textId="77777777" w:rsidR="008E4DE3" w:rsidRPr="008E4DE3" w:rsidRDefault="008E4DE3" w:rsidP="008E4DE3">
            <w:pPr>
              <w:spacing w:line="276" w:lineRule="auto"/>
              <w:jc w:val="center"/>
              <w:rPr>
                <w:b/>
                <w:bCs/>
                <w:sz w:val="20"/>
                <w:szCs w:val="20"/>
              </w:rPr>
            </w:pPr>
            <w:r w:rsidRPr="008E4DE3">
              <w:rPr>
                <w:b/>
                <w:bCs/>
                <w:sz w:val="20"/>
                <w:szCs w:val="20"/>
              </w:rPr>
              <w:t>Coût total éligible</w:t>
            </w:r>
          </w:p>
        </w:tc>
        <w:tc>
          <w:tcPr>
            <w:tcW w:w="8784" w:type="dxa"/>
            <w:gridSpan w:val="2"/>
            <w:vAlign w:val="center"/>
          </w:tcPr>
          <w:p w14:paraId="5D1C4498" w14:textId="2E3D0152" w:rsidR="008E4DE3" w:rsidRPr="008E4DE3" w:rsidRDefault="008E4DE3" w:rsidP="004D50EF">
            <w:pPr>
              <w:spacing w:before="80" w:after="80" w:line="276" w:lineRule="auto"/>
              <w:jc w:val="both"/>
            </w:pPr>
            <w:r w:rsidRPr="39C45D2B">
              <w:rPr>
                <w:sz w:val="20"/>
                <w:szCs w:val="20"/>
              </w:rPr>
              <w:t>Le coût total éligible retenu par l’autorité de gestion ne peut pas être inférieur à</w:t>
            </w:r>
            <w:r w:rsidR="005536D6" w:rsidRPr="39C45D2B">
              <w:rPr>
                <w:sz w:val="20"/>
                <w:szCs w:val="20"/>
              </w:rPr>
              <w:t xml:space="preserve"> 150 000 euros</w:t>
            </w:r>
            <w:r w:rsidR="006B6BF4" w:rsidRPr="39C45D2B">
              <w:rPr>
                <w:sz w:val="20"/>
                <w:szCs w:val="20"/>
              </w:rPr>
              <w:t xml:space="preserve"> </w:t>
            </w:r>
            <w:r w:rsidRPr="39C45D2B">
              <w:rPr>
                <w:sz w:val="20"/>
                <w:szCs w:val="20"/>
              </w:rPr>
              <w:t>sur une opération par tranche annuelle, sauf dérogation exceptionnelle dûment justifiée.</w:t>
            </w:r>
          </w:p>
        </w:tc>
      </w:tr>
      <w:tr w:rsidR="008E4DE3" w:rsidRPr="008E4DE3" w14:paraId="28C6730B" w14:textId="77777777" w:rsidTr="39C45D2B">
        <w:trPr>
          <w:trHeight w:val="318"/>
        </w:trPr>
        <w:tc>
          <w:tcPr>
            <w:tcW w:w="2557" w:type="dxa"/>
            <w:vAlign w:val="center"/>
          </w:tcPr>
          <w:p w14:paraId="0BD27837" w14:textId="77777777" w:rsidR="2CB9A0EA" w:rsidRDefault="2CB9A0EA" w:rsidP="64C39B3D">
            <w:pPr>
              <w:spacing w:line="276" w:lineRule="auto"/>
              <w:jc w:val="center"/>
              <w:rPr>
                <w:b/>
                <w:bCs/>
                <w:sz w:val="20"/>
                <w:szCs w:val="20"/>
              </w:rPr>
            </w:pPr>
            <w:r w:rsidRPr="64C39B3D">
              <w:rPr>
                <w:b/>
                <w:bCs/>
                <w:sz w:val="20"/>
                <w:szCs w:val="20"/>
              </w:rPr>
              <w:t>Options de coûts simplifiés (OCS)</w:t>
            </w:r>
          </w:p>
          <w:p w14:paraId="1CFCBC28" w14:textId="5EA4EB82" w:rsidR="64C39B3D" w:rsidRDefault="64C39B3D" w:rsidP="64C39B3D">
            <w:pPr>
              <w:jc w:val="center"/>
              <w:rPr>
                <w:b/>
                <w:bCs/>
                <w:sz w:val="20"/>
                <w:szCs w:val="20"/>
              </w:rPr>
            </w:pPr>
          </w:p>
        </w:tc>
        <w:tc>
          <w:tcPr>
            <w:tcW w:w="8784" w:type="dxa"/>
            <w:gridSpan w:val="2"/>
            <w:vAlign w:val="center"/>
          </w:tcPr>
          <w:p w14:paraId="2F72935F" w14:textId="429CE792" w:rsidR="008E4DE3" w:rsidRDefault="008E4DE3" w:rsidP="64C39B3D">
            <w:pPr>
              <w:spacing w:before="120" w:after="120" w:line="276" w:lineRule="auto"/>
              <w:jc w:val="both"/>
              <w:rPr>
                <w:sz w:val="20"/>
                <w:szCs w:val="20"/>
                <w:lang w:val="fr-BE"/>
              </w:rPr>
            </w:pPr>
            <w:r w:rsidRPr="64C39B3D">
              <w:rPr>
                <w:sz w:val="20"/>
                <w:szCs w:val="20"/>
                <w:lang w:val="fr-BE"/>
              </w:rPr>
              <w:t>L’utilisation du barème standard de coût unitaire (BSCU) par participant exprimé en CTE (coût total éligible) est obligatoire</w:t>
            </w:r>
            <w:r w:rsidR="4246D09D" w:rsidRPr="64C39B3D">
              <w:rPr>
                <w:sz w:val="20"/>
                <w:szCs w:val="20"/>
                <w:lang w:val="fr-BE"/>
              </w:rPr>
              <w:t xml:space="preserve">. </w:t>
            </w:r>
            <w:r w:rsidRPr="64C39B3D">
              <w:rPr>
                <w:sz w:val="20"/>
                <w:szCs w:val="20"/>
                <w:lang w:val="fr-BE"/>
              </w:rPr>
              <w:t>Le montant de cette OCS est précisé en valeur (euros) comme suit pour l’accompagnement individualisé : 2</w:t>
            </w:r>
            <w:r w:rsidR="00853B5F">
              <w:rPr>
                <w:sz w:val="20"/>
                <w:szCs w:val="20"/>
                <w:lang w:val="fr-BE"/>
              </w:rPr>
              <w:t> </w:t>
            </w:r>
            <w:r w:rsidRPr="64C39B3D">
              <w:rPr>
                <w:sz w:val="20"/>
                <w:szCs w:val="20"/>
                <w:lang w:val="fr-BE"/>
              </w:rPr>
              <w:t>191</w:t>
            </w:r>
            <w:r w:rsidR="00853B5F">
              <w:rPr>
                <w:sz w:val="20"/>
                <w:szCs w:val="20"/>
                <w:lang w:val="fr-BE"/>
              </w:rPr>
              <w:t xml:space="preserve"> </w:t>
            </w:r>
            <w:r w:rsidR="00402E7F">
              <w:rPr>
                <w:sz w:val="20"/>
                <w:szCs w:val="20"/>
                <w:lang w:val="fr-BE"/>
              </w:rPr>
              <w:t>€</w:t>
            </w:r>
            <w:r w:rsidR="00F163E7">
              <w:rPr>
                <w:sz w:val="20"/>
                <w:szCs w:val="20"/>
                <w:lang w:val="fr-BE"/>
              </w:rPr>
              <w:t xml:space="preserve"> </w:t>
            </w:r>
            <w:r w:rsidRPr="64C39B3D">
              <w:rPr>
                <w:sz w:val="20"/>
                <w:szCs w:val="20"/>
                <w:lang w:val="fr-BE"/>
              </w:rPr>
              <w:t>x nombre de participants effectivement accompagnés.</w:t>
            </w:r>
          </w:p>
          <w:p w14:paraId="1CA986BF" w14:textId="0B2B0EC1" w:rsidR="008E4DE3" w:rsidRDefault="008E4DE3" w:rsidP="64C39B3D">
            <w:pPr>
              <w:spacing w:after="120" w:line="276" w:lineRule="auto"/>
              <w:jc w:val="both"/>
              <w:rPr>
                <w:sz w:val="20"/>
                <w:szCs w:val="20"/>
              </w:rPr>
            </w:pPr>
            <w:r w:rsidRPr="64C39B3D">
              <w:rPr>
                <w:sz w:val="20"/>
                <w:szCs w:val="20"/>
                <w:u w:val="single"/>
                <w:lang w:val="fr-BE"/>
              </w:rPr>
              <w:t>Exemple</w:t>
            </w:r>
            <w:r w:rsidRPr="64C39B3D">
              <w:rPr>
                <w:sz w:val="20"/>
                <w:szCs w:val="20"/>
                <w:lang w:val="fr-BE"/>
              </w:rPr>
              <w:t> : Une opération d’accompagnement individualisé accompagne 24 participants : 2</w:t>
            </w:r>
            <w:r w:rsidR="00853B5F">
              <w:rPr>
                <w:sz w:val="20"/>
                <w:szCs w:val="20"/>
                <w:lang w:val="fr-BE"/>
              </w:rPr>
              <w:t> </w:t>
            </w:r>
            <w:r w:rsidRPr="64C39B3D">
              <w:rPr>
                <w:sz w:val="20"/>
                <w:szCs w:val="20"/>
                <w:lang w:val="fr-BE"/>
              </w:rPr>
              <w:t>191</w:t>
            </w:r>
            <w:r w:rsidR="00853B5F">
              <w:rPr>
                <w:sz w:val="20"/>
                <w:szCs w:val="20"/>
                <w:lang w:val="fr-BE"/>
              </w:rPr>
              <w:t xml:space="preserve"> </w:t>
            </w:r>
            <w:r w:rsidR="00402E7F">
              <w:rPr>
                <w:sz w:val="20"/>
                <w:szCs w:val="20"/>
                <w:lang w:val="fr-BE"/>
              </w:rPr>
              <w:t>€</w:t>
            </w:r>
            <w:r w:rsidRPr="64C39B3D">
              <w:rPr>
                <w:sz w:val="20"/>
                <w:szCs w:val="20"/>
                <w:lang w:val="fr-BE"/>
              </w:rPr>
              <w:t xml:space="preserve"> EUR x 24 = 52 584 </w:t>
            </w:r>
            <w:r w:rsidR="00853B5F">
              <w:rPr>
                <w:sz w:val="20"/>
                <w:szCs w:val="20"/>
                <w:lang w:val="fr-BE"/>
              </w:rPr>
              <w:t>€</w:t>
            </w:r>
            <w:r w:rsidRPr="64C39B3D">
              <w:rPr>
                <w:sz w:val="20"/>
                <w:szCs w:val="20"/>
                <w:lang w:val="fr-BE"/>
              </w:rPr>
              <w:t xml:space="preserve"> en CTE ; puis application du taux FSE+ à 40 % = 21 033,6</w:t>
            </w:r>
            <w:r w:rsidR="00853B5F">
              <w:rPr>
                <w:sz w:val="20"/>
                <w:szCs w:val="20"/>
                <w:lang w:val="fr-BE"/>
              </w:rPr>
              <w:t>0 €</w:t>
            </w:r>
            <w:r w:rsidRPr="64C39B3D">
              <w:rPr>
                <w:sz w:val="20"/>
                <w:szCs w:val="20"/>
                <w:lang w:val="fr-BE"/>
              </w:rPr>
              <w:t xml:space="preserve"> de FSE+. </w:t>
            </w:r>
          </w:p>
        </w:tc>
      </w:tr>
      <w:tr w:rsidR="008E4DE3" w:rsidRPr="008E4DE3" w14:paraId="64FB416D" w14:textId="77777777" w:rsidTr="39C45D2B">
        <w:trPr>
          <w:trHeight w:val="980"/>
        </w:trPr>
        <w:tc>
          <w:tcPr>
            <w:tcW w:w="2557" w:type="dxa"/>
            <w:vAlign w:val="center"/>
          </w:tcPr>
          <w:p w14:paraId="603829B0" w14:textId="77777777" w:rsidR="008E4DE3" w:rsidRPr="008E4DE3" w:rsidRDefault="008E4DE3" w:rsidP="008E4DE3">
            <w:pPr>
              <w:spacing w:line="276" w:lineRule="auto"/>
              <w:jc w:val="center"/>
              <w:rPr>
                <w:b/>
                <w:bCs/>
                <w:sz w:val="20"/>
                <w:szCs w:val="20"/>
              </w:rPr>
            </w:pPr>
            <w:r w:rsidRPr="008E4DE3">
              <w:rPr>
                <w:b/>
                <w:bCs/>
                <w:sz w:val="20"/>
                <w:szCs w:val="20"/>
              </w:rPr>
              <w:t>Principaux postes de dépenses éligibles</w:t>
            </w:r>
          </w:p>
        </w:tc>
        <w:tc>
          <w:tcPr>
            <w:tcW w:w="8784" w:type="dxa"/>
            <w:gridSpan w:val="2"/>
          </w:tcPr>
          <w:p w14:paraId="65A423B8" w14:textId="77777777" w:rsidR="008E4DE3" w:rsidRPr="008E4DE3" w:rsidRDefault="008E4DE3" w:rsidP="004D50EF">
            <w:pPr>
              <w:spacing w:before="80" w:after="80" w:line="276" w:lineRule="auto"/>
              <w:jc w:val="both"/>
              <w:rPr>
                <w:sz w:val="20"/>
                <w:szCs w:val="20"/>
              </w:rPr>
            </w:pPr>
            <w:r w:rsidRPr="008E4DE3">
              <w:rPr>
                <w:sz w:val="20"/>
                <w:szCs w:val="20"/>
              </w:rPr>
              <w:t>Les critères d’éligibilité des dépenses sont précisés dans la Partie 3, Fiche méthode 2 « </w:t>
            </w:r>
            <w:r w:rsidRPr="00864F11">
              <w:rPr>
                <w:i/>
                <w:iCs/>
                <w:sz w:val="20"/>
                <w:szCs w:val="20"/>
              </w:rPr>
              <w:t>Le financement et le paiement de l’aide européenne</w:t>
            </w:r>
            <w:r w:rsidRPr="008E4DE3">
              <w:rPr>
                <w:sz w:val="20"/>
                <w:szCs w:val="20"/>
              </w:rPr>
              <w:t> ». Ces critères seront également rappelés dans les appels à projets dans l’annexe « </w:t>
            </w:r>
            <w:r w:rsidRPr="00864F11">
              <w:rPr>
                <w:i/>
                <w:iCs/>
                <w:sz w:val="20"/>
                <w:szCs w:val="20"/>
              </w:rPr>
              <w:t>Listes indicatives et non exhaustives de dépenses éligibles</w:t>
            </w:r>
            <w:r w:rsidRPr="008E4DE3">
              <w:rPr>
                <w:sz w:val="20"/>
                <w:szCs w:val="20"/>
              </w:rPr>
              <w:t xml:space="preserve"> ». </w:t>
            </w:r>
          </w:p>
        </w:tc>
      </w:tr>
      <w:tr w:rsidR="008E4DE3" w:rsidRPr="008E4DE3" w14:paraId="19C6B3E1" w14:textId="77777777" w:rsidTr="39C45D2B">
        <w:trPr>
          <w:trHeight w:val="410"/>
        </w:trPr>
        <w:tc>
          <w:tcPr>
            <w:tcW w:w="2557" w:type="dxa"/>
            <w:vMerge w:val="restart"/>
          </w:tcPr>
          <w:p w14:paraId="1609EEE8" w14:textId="77777777" w:rsidR="008E4DE3" w:rsidRPr="008E4DE3" w:rsidRDefault="008E4DE3" w:rsidP="008E4DE3">
            <w:pPr>
              <w:spacing w:line="276" w:lineRule="auto"/>
              <w:jc w:val="center"/>
              <w:rPr>
                <w:b/>
                <w:bCs/>
                <w:sz w:val="20"/>
                <w:szCs w:val="20"/>
              </w:rPr>
            </w:pPr>
          </w:p>
          <w:p w14:paraId="161EFADF" w14:textId="77777777" w:rsidR="008E4DE3" w:rsidRPr="008E4DE3" w:rsidRDefault="008E4DE3" w:rsidP="008E4DE3">
            <w:pPr>
              <w:spacing w:line="276" w:lineRule="auto"/>
              <w:jc w:val="center"/>
              <w:rPr>
                <w:b/>
                <w:bCs/>
                <w:sz w:val="20"/>
                <w:szCs w:val="20"/>
              </w:rPr>
            </w:pPr>
          </w:p>
          <w:p w14:paraId="3D8B0684" w14:textId="77777777" w:rsidR="008E4DE3" w:rsidRPr="008E4DE3" w:rsidRDefault="008E4DE3" w:rsidP="008E4DE3">
            <w:pPr>
              <w:spacing w:line="276" w:lineRule="auto"/>
              <w:jc w:val="center"/>
              <w:rPr>
                <w:b/>
                <w:bCs/>
                <w:sz w:val="20"/>
                <w:szCs w:val="20"/>
              </w:rPr>
            </w:pPr>
          </w:p>
          <w:p w14:paraId="1985D710" w14:textId="77777777" w:rsidR="008E4DE3" w:rsidRPr="008E4DE3" w:rsidRDefault="008E4DE3" w:rsidP="008E4DE3">
            <w:pPr>
              <w:spacing w:line="276" w:lineRule="auto"/>
              <w:jc w:val="center"/>
              <w:rPr>
                <w:b/>
                <w:bCs/>
                <w:sz w:val="20"/>
                <w:szCs w:val="20"/>
              </w:rPr>
            </w:pPr>
          </w:p>
          <w:p w14:paraId="3E9843E0" w14:textId="77777777" w:rsidR="008E4DE3" w:rsidRPr="008E4DE3" w:rsidRDefault="008E4DE3" w:rsidP="008E4DE3">
            <w:pPr>
              <w:spacing w:line="276" w:lineRule="auto"/>
              <w:jc w:val="center"/>
              <w:rPr>
                <w:b/>
                <w:bCs/>
                <w:sz w:val="20"/>
                <w:szCs w:val="20"/>
              </w:rPr>
            </w:pPr>
          </w:p>
          <w:p w14:paraId="7270B1A7" w14:textId="77777777" w:rsidR="008E4DE3" w:rsidRPr="008E4DE3" w:rsidRDefault="008E4DE3" w:rsidP="008E4DE3">
            <w:pPr>
              <w:spacing w:line="276" w:lineRule="auto"/>
              <w:jc w:val="center"/>
              <w:rPr>
                <w:b/>
                <w:bCs/>
                <w:sz w:val="20"/>
                <w:szCs w:val="20"/>
              </w:rPr>
            </w:pPr>
          </w:p>
          <w:p w14:paraId="685C463B" w14:textId="77777777" w:rsidR="008E4DE3" w:rsidRPr="008E4DE3" w:rsidRDefault="008E4DE3" w:rsidP="008E4DE3">
            <w:pPr>
              <w:spacing w:line="276" w:lineRule="auto"/>
              <w:jc w:val="center"/>
              <w:rPr>
                <w:b/>
                <w:bCs/>
                <w:sz w:val="20"/>
                <w:szCs w:val="20"/>
              </w:rPr>
            </w:pPr>
          </w:p>
          <w:p w14:paraId="36FF3B4C" w14:textId="77777777" w:rsidR="008E4DE3" w:rsidRPr="008E4DE3" w:rsidRDefault="008E4DE3" w:rsidP="008E4DE3">
            <w:pPr>
              <w:spacing w:line="276" w:lineRule="auto"/>
              <w:jc w:val="center"/>
              <w:rPr>
                <w:b/>
                <w:bCs/>
                <w:sz w:val="20"/>
                <w:szCs w:val="20"/>
              </w:rPr>
            </w:pPr>
            <w:r w:rsidRPr="008E4DE3">
              <w:rPr>
                <w:b/>
                <w:bCs/>
                <w:sz w:val="20"/>
                <w:szCs w:val="20"/>
              </w:rPr>
              <w:t>Justificatifs à produire</w:t>
            </w:r>
          </w:p>
        </w:tc>
        <w:tc>
          <w:tcPr>
            <w:tcW w:w="1560" w:type="dxa"/>
          </w:tcPr>
          <w:p w14:paraId="7892A1BB" w14:textId="20F3B5F0" w:rsidR="008E4DE3" w:rsidRPr="008E4DE3" w:rsidRDefault="008E4DE3" w:rsidP="5CB5CF67">
            <w:pPr>
              <w:spacing w:before="120" w:line="276" w:lineRule="auto"/>
              <w:rPr>
                <w:sz w:val="20"/>
                <w:szCs w:val="20"/>
              </w:rPr>
            </w:pPr>
            <w:r w:rsidRPr="5CB5CF67">
              <w:rPr>
                <w:sz w:val="20"/>
                <w:szCs w:val="20"/>
              </w:rPr>
              <w:t>Au moment du</w:t>
            </w:r>
            <w:r w:rsidR="2C43C6DB" w:rsidRPr="5CB5CF67">
              <w:rPr>
                <w:sz w:val="20"/>
                <w:szCs w:val="20"/>
              </w:rPr>
              <w:t xml:space="preserve"> </w:t>
            </w:r>
            <w:r w:rsidRPr="5CB5CF67">
              <w:rPr>
                <w:sz w:val="20"/>
                <w:szCs w:val="20"/>
              </w:rPr>
              <w:t>dépôt</w:t>
            </w:r>
            <w:r w:rsidR="00FD41DD" w:rsidRPr="5CB5CF67">
              <w:rPr>
                <w:sz w:val="20"/>
                <w:szCs w:val="20"/>
              </w:rPr>
              <w:t xml:space="preserve"> </w:t>
            </w:r>
            <w:r w:rsidRPr="5CB5CF67">
              <w:rPr>
                <w:sz w:val="20"/>
                <w:szCs w:val="20"/>
              </w:rPr>
              <w:t>de la demande</w:t>
            </w:r>
          </w:p>
        </w:tc>
        <w:tc>
          <w:tcPr>
            <w:tcW w:w="7224" w:type="dxa"/>
          </w:tcPr>
          <w:p w14:paraId="2C537BF2" w14:textId="77777777" w:rsidR="008E4DE3" w:rsidRPr="008E4DE3" w:rsidRDefault="008E4DE3" w:rsidP="00FD41DD">
            <w:pPr>
              <w:spacing w:before="120" w:after="120" w:line="276" w:lineRule="auto"/>
              <w:jc w:val="both"/>
              <w:rPr>
                <w:sz w:val="20"/>
                <w:szCs w:val="20"/>
              </w:rPr>
            </w:pPr>
            <w:r w:rsidRPr="008E4DE3">
              <w:rPr>
                <w:sz w:val="20"/>
                <w:szCs w:val="20"/>
              </w:rPr>
              <w:t>Les différentes pièces justificatives sont listées dans les annexes qui recensent les pièces obligatoires au dépôt de la demande d’aide et au moment de l’instruction. Elles seront également spécifiées dans les appels à projets, ainsi que les pièces spécifiques pour chaque thématique.</w:t>
            </w:r>
          </w:p>
        </w:tc>
      </w:tr>
      <w:tr w:rsidR="008E4DE3" w:rsidRPr="008E4DE3" w14:paraId="7A624D03" w14:textId="77777777" w:rsidTr="39C45D2B">
        <w:trPr>
          <w:trHeight w:val="410"/>
        </w:trPr>
        <w:tc>
          <w:tcPr>
            <w:tcW w:w="2557" w:type="dxa"/>
            <w:vMerge/>
          </w:tcPr>
          <w:p w14:paraId="76EF84B8" w14:textId="77777777" w:rsidR="008E4DE3" w:rsidRPr="008E4DE3" w:rsidRDefault="008E4DE3" w:rsidP="008E4DE3">
            <w:pPr>
              <w:spacing w:line="276" w:lineRule="auto"/>
              <w:rPr>
                <w:b/>
                <w:bCs/>
              </w:rPr>
            </w:pPr>
          </w:p>
        </w:tc>
        <w:tc>
          <w:tcPr>
            <w:tcW w:w="1560" w:type="dxa"/>
          </w:tcPr>
          <w:p w14:paraId="5DC379B5" w14:textId="74E7772D" w:rsidR="008E4DE3" w:rsidRPr="008E4DE3" w:rsidRDefault="00C50004" w:rsidP="004D50EF">
            <w:pPr>
              <w:spacing w:before="120" w:line="276" w:lineRule="auto"/>
              <w:rPr>
                <w:sz w:val="20"/>
                <w:szCs w:val="20"/>
              </w:rPr>
            </w:pPr>
            <w:r>
              <w:t xml:space="preserve"> </w:t>
            </w:r>
            <w:r w:rsidRPr="00C50004">
              <w:rPr>
                <w:sz w:val="20"/>
                <w:szCs w:val="20"/>
              </w:rPr>
              <w:t>Au moment de la remontée des dépenses</w:t>
            </w:r>
          </w:p>
        </w:tc>
        <w:tc>
          <w:tcPr>
            <w:tcW w:w="7224" w:type="dxa"/>
          </w:tcPr>
          <w:p w14:paraId="2F210021" w14:textId="77777777" w:rsidR="008E4DE3" w:rsidRPr="008E4DE3" w:rsidRDefault="008E4DE3" w:rsidP="00060D0B">
            <w:pPr>
              <w:spacing w:before="120" w:line="276" w:lineRule="auto"/>
              <w:jc w:val="both"/>
              <w:rPr>
                <w:sz w:val="20"/>
                <w:szCs w:val="20"/>
              </w:rPr>
            </w:pPr>
            <w:r w:rsidRPr="008E4DE3">
              <w:rPr>
                <w:sz w:val="20"/>
                <w:szCs w:val="20"/>
              </w:rPr>
              <w:t>Pour les opérations de décrochage scolaire couvertes par les options de coûts simplifiés (OCS), les pièces à fournir sont :</w:t>
            </w:r>
          </w:p>
          <w:p w14:paraId="200EB0A1" w14:textId="3809A7B5" w:rsidR="008E4DE3" w:rsidRPr="008E4DE3" w:rsidRDefault="004D50EF" w:rsidP="00760274">
            <w:pPr>
              <w:numPr>
                <w:ilvl w:val="0"/>
                <w:numId w:val="5"/>
              </w:numPr>
              <w:spacing w:line="276" w:lineRule="auto"/>
              <w:contextualSpacing/>
              <w:jc w:val="both"/>
              <w:rPr>
                <w:sz w:val="20"/>
                <w:szCs w:val="20"/>
              </w:rPr>
            </w:pPr>
            <w:r w:rsidRPr="5CB5CF67">
              <w:rPr>
                <w:sz w:val="20"/>
                <w:szCs w:val="20"/>
              </w:rPr>
              <w:t>une f</w:t>
            </w:r>
            <w:r w:rsidR="008E4DE3" w:rsidRPr="5CB5CF67">
              <w:rPr>
                <w:sz w:val="20"/>
                <w:szCs w:val="20"/>
              </w:rPr>
              <w:t xml:space="preserve">iche de positionnement signée du responsable de l’organisme prescripteur et de la structure d’accueil/accompagnateur </w:t>
            </w:r>
            <w:r w:rsidR="008E4DE3" w:rsidRPr="5CB5CF67">
              <w:rPr>
                <w:i/>
                <w:iCs/>
                <w:sz w:val="20"/>
                <w:szCs w:val="20"/>
              </w:rPr>
              <w:t xml:space="preserve">(cf. </w:t>
            </w:r>
            <w:r w:rsidR="00C82855">
              <w:rPr>
                <w:i/>
                <w:iCs/>
                <w:sz w:val="20"/>
                <w:szCs w:val="20"/>
              </w:rPr>
              <w:t xml:space="preserve">document type </w:t>
            </w:r>
            <w:r w:rsidR="008E4DE3" w:rsidRPr="5CB5CF67">
              <w:rPr>
                <w:i/>
                <w:iCs/>
                <w:sz w:val="20"/>
                <w:szCs w:val="20"/>
              </w:rPr>
              <w:t>n°</w:t>
            </w:r>
            <w:r w:rsidR="1DB22833" w:rsidRPr="5CB5CF67">
              <w:rPr>
                <w:i/>
                <w:iCs/>
                <w:sz w:val="20"/>
                <w:szCs w:val="20"/>
              </w:rPr>
              <w:t>8</w:t>
            </w:r>
            <w:r w:rsidR="008E4DE3" w:rsidRPr="5CB5CF67">
              <w:rPr>
                <w:i/>
                <w:iCs/>
                <w:sz w:val="20"/>
                <w:szCs w:val="20"/>
              </w:rPr>
              <w:t>)</w:t>
            </w:r>
            <w:r w:rsidRPr="5CB5CF67">
              <w:rPr>
                <w:i/>
                <w:iCs/>
                <w:sz w:val="20"/>
                <w:szCs w:val="20"/>
              </w:rPr>
              <w:t> </w:t>
            </w:r>
            <w:r w:rsidRPr="5CB5CF67">
              <w:rPr>
                <w:sz w:val="20"/>
                <w:szCs w:val="20"/>
              </w:rPr>
              <w:t>;</w:t>
            </w:r>
          </w:p>
          <w:p w14:paraId="6E9AE4A1" w14:textId="3161AD6B" w:rsidR="008E4DE3" w:rsidRPr="008E4DE3" w:rsidRDefault="004D50EF" w:rsidP="00760274">
            <w:pPr>
              <w:numPr>
                <w:ilvl w:val="0"/>
                <w:numId w:val="5"/>
              </w:numPr>
              <w:spacing w:line="276" w:lineRule="auto"/>
              <w:contextualSpacing/>
              <w:jc w:val="both"/>
              <w:rPr>
                <w:sz w:val="20"/>
                <w:szCs w:val="20"/>
              </w:rPr>
            </w:pPr>
            <w:r w:rsidRPr="5CB5CF67">
              <w:rPr>
                <w:sz w:val="20"/>
                <w:szCs w:val="20"/>
              </w:rPr>
              <w:t>un b</w:t>
            </w:r>
            <w:r w:rsidR="008E4DE3" w:rsidRPr="5CB5CF67">
              <w:rPr>
                <w:sz w:val="20"/>
                <w:szCs w:val="20"/>
              </w:rPr>
              <w:t xml:space="preserve">ilan d’accompagnement de l’élève signé de la structure d’accueil/accompagnateur </w:t>
            </w:r>
            <w:r w:rsidR="008E4DE3" w:rsidRPr="5CB5CF67">
              <w:rPr>
                <w:i/>
                <w:iCs/>
                <w:sz w:val="20"/>
                <w:szCs w:val="20"/>
              </w:rPr>
              <w:t xml:space="preserve">(cf. </w:t>
            </w:r>
            <w:r w:rsidR="00C82855">
              <w:rPr>
                <w:i/>
                <w:iCs/>
                <w:sz w:val="20"/>
                <w:szCs w:val="20"/>
              </w:rPr>
              <w:t>document type</w:t>
            </w:r>
            <w:r w:rsidR="008E4DE3" w:rsidRPr="5CB5CF67">
              <w:rPr>
                <w:i/>
                <w:iCs/>
                <w:sz w:val="20"/>
                <w:szCs w:val="20"/>
              </w:rPr>
              <w:t xml:space="preserve"> n°</w:t>
            </w:r>
            <w:r w:rsidR="7CBF3CCC" w:rsidRPr="5CB5CF67">
              <w:rPr>
                <w:i/>
                <w:iCs/>
                <w:sz w:val="20"/>
                <w:szCs w:val="20"/>
              </w:rPr>
              <w:t>9</w:t>
            </w:r>
            <w:r w:rsidR="008E4DE3" w:rsidRPr="5CB5CF67">
              <w:rPr>
                <w:i/>
                <w:iCs/>
                <w:sz w:val="20"/>
                <w:szCs w:val="20"/>
              </w:rPr>
              <w:t>)</w:t>
            </w:r>
            <w:r w:rsidRPr="5CB5CF67">
              <w:rPr>
                <w:i/>
                <w:iCs/>
                <w:sz w:val="20"/>
                <w:szCs w:val="20"/>
              </w:rPr>
              <w:t> </w:t>
            </w:r>
            <w:r w:rsidRPr="5CB5CF67">
              <w:rPr>
                <w:sz w:val="20"/>
                <w:szCs w:val="20"/>
              </w:rPr>
              <w:t>;</w:t>
            </w:r>
          </w:p>
          <w:p w14:paraId="1EDF5F93" w14:textId="6862162C" w:rsidR="008E4DE3" w:rsidRPr="008E4DE3" w:rsidRDefault="004D50EF" w:rsidP="5CB5CF67">
            <w:pPr>
              <w:numPr>
                <w:ilvl w:val="0"/>
                <w:numId w:val="5"/>
              </w:numPr>
              <w:spacing w:before="80" w:after="120" w:line="276" w:lineRule="auto"/>
              <w:contextualSpacing/>
              <w:jc w:val="both"/>
              <w:rPr>
                <w:i/>
                <w:iCs/>
                <w:sz w:val="20"/>
                <w:szCs w:val="20"/>
              </w:rPr>
            </w:pPr>
            <w:r w:rsidRPr="5CB5CF67">
              <w:rPr>
                <w:sz w:val="20"/>
                <w:szCs w:val="20"/>
              </w:rPr>
              <w:t>une a</w:t>
            </w:r>
            <w:r w:rsidR="008E4DE3" w:rsidRPr="5CB5CF67">
              <w:rPr>
                <w:sz w:val="20"/>
                <w:szCs w:val="20"/>
              </w:rPr>
              <w:t xml:space="preserve">ttestation de sortie signée du responsable de l’organisme prescripteur et de la structure d’accueil/accompagnateur </w:t>
            </w:r>
            <w:r w:rsidR="008E4DE3" w:rsidRPr="5CB5CF67">
              <w:rPr>
                <w:i/>
                <w:iCs/>
                <w:sz w:val="20"/>
                <w:szCs w:val="20"/>
              </w:rPr>
              <w:t xml:space="preserve">(cf. </w:t>
            </w:r>
            <w:r w:rsidR="00C82855">
              <w:rPr>
                <w:i/>
                <w:iCs/>
                <w:sz w:val="20"/>
                <w:szCs w:val="20"/>
              </w:rPr>
              <w:t>document type</w:t>
            </w:r>
            <w:r w:rsidR="008E4DE3" w:rsidRPr="5CB5CF67">
              <w:rPr>
                <w:i/>
                <w:iCs/>
                <w:sz w:val="20"/>
                <w:szCs w:val="20"/>
              </w:rPr>
              <w:t xml:space="preserve"> n°</w:t>
            </w:r>
            <w:r w:rsidR="3CE8A425" w:rsidRPr="5CB5CF67">
              <w:rPr>
                <w:i/>
                <w:iCs/>
                <w:sz w:val="20"/>
                <w:szCs w:val="20"/>
              </w:rPr>
              <w:t>10</w:t>
            </w:r>
            <w:r w:rsidR="008E4DE3" w:rsidRPr="5CB5CF67">
              <w:rPr>
                <w:i/>
                <w:iCs/>
                <w:sz w:val="20"/>
                <w:szCs w:val="20"/>
              </w:rPr>
              <w:t>).</w:t>
            </w:r>
          </w:p>
        </w:tc>
      </w:tr>
      <w:tr w:rsidR="008E4DE3" w:rsidRPr="008E4DE3" w14:paraId="0814CD74" w14:textId="77777777" w:rsidTr="39C45D2B">
        <w:trPr>
          <w:trHeight w:val="410"/>
        </w:trPr>
        <w:tc>
          <w:tcPr>
            <w:tcW w:w="11341" w:type="dxa"/>
            <w:gridSpan w:val="3"/>
          </w:tcPr>
          <w:p w14:paraId="79E96036" w14:textId="77777777" w:rsidR="00C32430" w:rsidRDefault="008E4DE3" w:rsidP="00C32430">
            <w:pPr>
              <w:spacing w:before="80" w:line="276" w:lineRule="auto"/>
              <w:jc w:val="both"/>
              <w:rPr>
                <w:sz w:val="20"/>
                <w:szCs w:val="20"/>
              </w:rPr>
            </w:pPr>
            <w:r w:rsidRPr="008D5D98">
              <w:rPr>
                <w:b/>
                <w:bCs/>
                <w:sz w:val="20"/>
                <w:szCs w:val="20"/>
              </w:rPr>
              <w:t>Attention</w:t>
            </w:r>
            <w:r w:rsidRPr="008E4DE3">
              <w:rPr>
                <w:sz w:val="20"/>
                <w:szCs w:val="20"/>
              </w:rPr>
              <w:t xml:space="preserve"> : </w:t>
            </w:r>
            <w:r w:rsidR="008D5D98">
              <w:rPr>
                <w:sz w:val="20"/>
                <w:szCs w:val="20"/>
              </w:rPr>
              <w:t>l</w:t>
            </w:r>
            <w:r w:rsidRPr="008E4DE3">
              <w:rPr>
                <w:sz w:val="20"/>
                <w:szCs w:val="20"/>
              </w:rPr>
              <w:t xml:space="preserve">e service instructeur conserve tous les documents dans un dossier unique. </w:t>
            </w:r>
          </w:p>
          <w:p w14:paraId="2831584A" w14:textId="2722B794" w:rsidR="008E4DE3" w:rsidRPr="008E4DE3" w:rsidRDefault="008E4DE3" w:rsidP="00C32430">
            <w:pPr>
              <w:spacing w:after="80" w:line="276" w:lineRule="auto"/>
              <w:jc w:val="both"/>
              <w:rPr>
                <w:sz w:val="20"/>
                <w:szCs w:val="20"/>
              </w:rPr>
            </w:pPr>
            <w:r w:rsidRPr="008E4DE3">
              <w:rPr>
                <w:sz w:val="20"/>
                <w:szCs w:val="20"/>
              </w:rPr>
              <w:t xml:space="preserve">Cette obligation s’applique aussi au bénéficiaire de la subvention. En cas de contrôle, ils devront être en mesure de les fournir. </w:t>
            </w:r>
          </w:p>
        </w:tc>
      </w:tr>
      <w:tr w:rsidR="008E4DE3" w:rsidRPr="008E4DE3" w14:paraId="018050A8" w14:textId="77777777" w:rsidTr="39C45D2B">
        <w:trPr>
          <w:trHeight w:val="990"/>
        </w:trPr>
        <w:tc>
          <w:tcPr>
            <w:tcW w:w="2557" w:type="dxa"/>
            <w:vMerge w:val="restart"/>
            <w:vAlign w:val="center"/>
          </w:tcPr>
          <w:p w14:paraId="211A81F5" w14:textId="77777777" w:rsidR="008E4DE3" w:rsidRPr="008E4DE3" w:rsidRDefault="008E4DE3" w:rsidP="008E4DE3">
            <w:pPr>
              <w:spacing w:line="276" w:lineRule="auto"/>
              <w:rPr>
                <w:b/>
                <w:bCs/>
              </w:rPr>
            </w:pPr>
          </w:p>
          <w:p w14:paraId="10F84AEE" w14:textId="77777777" w:rsidR="008E4DE3" w:rsidRPr="008E4DE3" w:rsidRDefault="008E4DE3" w:rsidP="008E4DE3">
            <w:pPr>
              <w:spacing w:line="276" w:lineRule="auto"/>
              <w:rPr>
                <w:b/>
                <w:bCs/>
              </w:rPr>
            </w:pPr>
          </w:p>
          <w:p w14:paraId="205F4569" w14:textId="77777777" w:rsidR="008E4DE3" w:rsidRPr="008E4DE3" w:rsidRDefault="008E4DE3" w:rsidP="008E4DE3">
            <w:pPr>
              <w:spacing w:line="276" w:lineRule="auto"/>
              <w:rPr>
                <w:b/>
                <w:bCs/>
              </w:rPr>
            </w:pPr>
          </w:p>
          <w:p w14:paraId="01F6826C" w14:textId="77777777" w:rsidR="008E4DE3" w:rsidRPr="008E4DE3" w:rsidRDefault="008E4DE3" w:rsidP="008E4DE3">
            <w:pPr>
              <w:spacing w:line="276" w:lineRule="auto"/>
              <w:rPr>
                <w:b/>
                <w:bCs/>
              </w:rPr>
            </w:pPr>
          </w:p>
          <w:p w14:paraId="68F62254" w14:textId="77777777" w:rsidR="008E4DE3" w:rsidRPr="008E4DE3" w:rsidRDefault="008E4DE3" w:rsidP="008E4DE3">
            <w:pPr>
              <w:spacing w:line="276" w:lineRule="auto"/>
              <w:rPr>
                <w:b/>
                <w:bCs/>
              </w:rPr>
            </w:pPr>
          </w:p>
          <w:p w14:paraId="458FDA18" w14:textId="77777777" w:rsidR="008E4DE3" w:rsidRPr="008E4DE3" w:rsidRDefault="008E4DE3" w:rsidP="008E4DE3">
            <w:pPr>
              <w:spacing w:line="276" w:lineRule="auto"/>
              <w:rPr>
                <w:b/>
                <w:bCs/>
              </w:rPr>
            </w:pPr>
          </w:p>
          <w:p w14:paraId="2104AB51" w14:textId="77777777" w:rsidR="00C50004" w:rsidRDefault="00C50004" w:rsidP="008E4DE3">
            <w:pPr>
              <w:spacing w:line="276" w:lineRule="auto"/>
              <w:jc w:val="center"/>
              <w:rPr>
                <w:b/>
                <w:bCs/>
                <w:sz w:val="20"/>
                <w:szCs w:val="20"/>
              </w:rPr>
            </w:pPr>
          </w:p>
          <w:p w14:paraId="16A05391" w14:textId="77777777" w:rsidR="00C50004" w:rsidRDefault="00C50004" w:rsidP="008E4DE3">
            <w:pPr>
              <w:spacing w:line="276" w:lineRule="auto"/>
              <w:jc w:val="center"/>
              <w:rPr>
                <w:b/>
                <w:bCs/>
                <w:sz w:val="20"/>
                <w:szCs w:val="20"/>
              </w:rPr>
            </w:pPr>
          </w:p>
          <w:p w14:paraId="23B44C73" w14:textId="77777777" w:rsidR="00C50004" w:rsidRDefault="00C50004" w:rsidP="008E4DE3">
            <w:pPr>
              <w:spacing w:line="276" w:lineRule="auto"/>
              <w:jc w:val="center"/>
              <w:rPr>
                <w:b/>
                <w:bCs/>
                <w:sz w:val="20"/>
                <w:szCs w:val="20"/>
              </w:rPr>
            </w:pPr>
          </w:p>
          <w:p w14:paraId="43633D03" w14:textId="77777777" w:rsidR="00C50004" w:rsidRDefault="00C50004" w:rsidP="008E4DE3">
            <w:pPr>
              <w:spacing w:line="276" w:lineRule="auto"/>
              <w:jc w:val="center"/>
              <w:rPr>
                <w:b/>
                <w:bCs/>
                <w:sz w:val="20"/>
                <w:szCs w:val="20"/>
              </w:rPr>
            </w:pPr>
          </w:p>
          <w:p w14:paraId="189A1920" w14:textId="77777777" w:rsidR="00C50004" w:rsidRDefault="00C50004" w:rsidP="008E4DE3">
            <w:pPr>
              <w:spacing w:line="276" w:lineRule="auto"/>
              <w:jc w:val="center"/>
              <w:rPr>
                <w:b/>
                <w:bCs/>
                <w:sz w:val="20"/>
                <w:szCs w:val="20"/>
              </w:rPr>
            </w:pPr>
          </w:p>
          <w:p w14:paraId="49812F89" w14:textId="77777777" w:rsidR="00C50004" w:rsidRDefault="00C50004" w:rsidP="008E4DE3">
            <w:pPr>
              <w:spacing w:line="276" w:lineRule="auto"/>
              <w:jc w:val="center"/>
              <w:rPr>
                <w:b/>
                <w:bCs/>
                <w:sz w:val="20"/>
                <w:szCs w:val="20"/>
              </w:rPr>
            </w:pPr>
          </w:p>
          <w:p w14:paraId="10920472" w14:textId="77777777" w:rsidR="00C50004" w:rsidRDefault="00C50004" w:rsidP="008E4DE3">
            <w:pPr>
              <w:spacing w:line="276" w:lineRule="auto"/>
              <w:jc w:val="center"/>
              <w:rPr>
                <w:b/>
                <w:bCs/>
                <w:sz w:val="20"/>
                <w:szCs w:val="20"/>
              </w:rPr>
            </w:pPr>
          </w:p>
          <w:p w14:paraId="2A8F1C6B" w14:textId="77777777" w:rsidR="00C50004" w:rsidRDefault="00C50004" w:rsidP="008E4DE3">
            <w:pPr>
              <w:spacing w:line="276" w:lineRule="auto"/>
              <w:jc w:val="center"/>
              <w:rPr>
                <w:b/>
                <w:bCs/>
                <w:sz w:val="20"/>
                <w:szCs w:val="20"/>
              </w:rPr>
            </w:pPr>
          </w:p>
          <w:p w14:paraId="31894CD4" w14:textId="77777777" w:rsidR="00C50004" w:rsidRDefault="00C50004" w:rsidP="008E4DE3">
            <w:pPr>
              <w:spacing w:line="276" w:lineRule="auto"/>
              <w:jc w:val="center"/>
              <w:rPr>
                <w:b/>
                <w:bCs/>
                <w:sz w:val="20"/>
                <w:szCs w:val="20"/>
              </w:rPr>
            </w:pPr>
          </w:p>
          <w:p w14:paraId="0E6C847F" w14:textId="77777777" w:rsidR="00C50004" w:rsidRDefault="00C50004" w:rsidP="008E4DE3">
            <w:pPr>
              <w:spacing w:line="276" w:lineRule="auto"/>
              <w:jc w:val="center"/>
              <w:rPr>
                <w:b/>
                <w:bCs/>
                <w:sz w:val="20"/>
                <w:szCs w:val="20"/>
              </w:rPr>
            </w:pPr>
          </w:p>
          <w:p w14:paraId="3AAE9293" w14:textId="7B553203" w:rsidR="008E4DE3" w:rsidRPr="008E4DE3" w:rsidRDefault="008E4DE3" w:rsidP="008E4DE3">
            <w:pPr>
              <w:spacing w:line="276" w:lineRule="auto"/>
              <w:jc w:val="center"/>
              <w:rPr>
                <w:b/>
                <w:bCs/>
                <w:sz w:val="20"/>
                <w:szCs w:val="20"/>
              </w:rPr>
            </w:pPr>
            <w:r w:rsidRPr="008E4DE3">
              <w:rPr>
                <w:b/>
                <w:bCs/>
                <w:sz w:val="20"/>
                <w:szCs w:val="20"/>
              </w:rPr>
              <w:t>Aides d’Etat</w:t>
            </w:r>
          </w:p>
          <w:p w14:paraId="5639F2A9" w14:textId="77777777" w:rsidR="008E4DE3" w:rsidRPr="008E4DE3" w:rsidRDefault="008E4DE3" w:rsidP="008E4DE3">
            <w:pPr>
              <w:spacing w:line="276" w:lineRule="auto"/>
              <w:rPr>
                <w:b/>
                <w:bCs/>
              </w:rPr>
            </w:pPr>
          </w:p>
          <w:p w14:paraId="081F0E65" w14:textId="77777777" w:rsidR="008E4DE3" w:rsidRPr="008E4DE3" w:rsidRDefault="008E4DE3" w:rsidP="008E4DE3">
            <w:pPr>
              <w:spacing w:line="276" w:lineRule="auto"/>
              <w:rPr>
                <w:b/>
                <w:bCs/>
              </w:rPr>
            </w:pPr>
          </w:p>
          <w:p w14:paraId="2A77F9BB" w14:textId="77777777" w:rsidR="008E4DE3" w:rsidRPr="008E4DE3" w:rsidRDefault="008E4DE3" w:rsidP="008E4DE3">
            <w:pPr>
              <w:spacing w:line="276" w:lineRule="auto"/>
              <w:rPr>
                <w:b/>
                <w:bCs/>
              </w:rPr>
            </w:pPr>
          </w:p>
          <w:p w14:paraId="57B447E2" w14:textId="77777777" w:rsidR="008E4DE3" w:rsidRPr="008E4DE3" w:rsidRDefault="008E4DE3" w:rsidP="008E4DE3">
            <w:pPr>
              <w:spacing w:line="276" w:lineRule="auto"/>
              <w:rPr>
                <w:b/>
                <w:bCs/>
              </w:rPr>
            </w:pPr>
          </w:p>
          <w:p w14:paraId="3A3697D9" w14:textId="77777777" w:rsidR="008E4DE3" w:rsidRPr="008E4DE3" w:rsidRDefault="008E4DE3" w:rsidP="008E4DE3">
            <w:pPr>
              <w:spacing w:line="276" w:lineRule="auto"/>
              <w:rPr>
                <w:b/>
                <w:bCs/>
              </w:rPr>
            </w:pPr>
          </w:p>
          <w:p w14:paraId="5B6C2524" w14:textId="77777777" w:rsidR="008E4DE3" w:rsidRPr="008E4DE3" w:rsidRDefault="008E4DE3" w:rsidP="008E4DE3">
            <w:pPr>
              <w:spacing w:line="276" w:lineRule="auto"/>
              <w:rPr>
                <w:b/>
                <w:bCs/>
              </w:rPr>
            </w:pPr>
          </w:p>
          <w:p w14:paraId="5ED9B097" w14:textId="77777777" w:rsidR="008E4DE3" w:rsidRPr="008E4DE3" w:rsidRDefault="008E4DE3" w:rsidP="008E4DE3">
            <w:pPr>
              <w:spacing w:line="276" w:lineRule="auto"/>
              <w:rPr>
                <w:b/>
                <w:bCs/>
              </w:rPr>
            </w:pPr>
          </w:p>
          <w:p w14:paraId="60587AE1" w14:textId="77777777" w:rsidR="008E4DE3" w:rsidRPr="008E4DE3" w:rsidRDefault="008E4DE3" w:rsidP="008E4DE3">
            <w:pPr>
              <w:spacing w:line="276" w:lineRule="auto"/>
              <w:rPr>
                <w:b/>
                <w:bCs/>
              </w:rPr>
            </w:pPr>
          </w:p>
        </w:tc>
        <w:tc>
          <w:tcPr>
            <w:tcW w:w="8784" w:type="dxa"/>
            <w:gridSpan w:val="2"/>
          </w:tcPr>
          <w:p w14:paraId="3D6EE467" w14:textId="77777777" w:rsidR="008E4DE3" w:rsidRPr="008E4DE3" w:rsidRDefault="008E4DE3" w:rsidP="004D50EF">
            <w:pPr>
              <w:spacing w:before="120" w:line="276" w:lineRule="auto"/>
              <w:jc w:val="both"/>
              <w:rPr>
                <w:sz w:val="20"/>
                <w:szCs w:val="20"/>
              </w:rPr>
            </w:pPr>
            <w:r w:rsidRPr="008E4DE3">
              <w:rPr>
                <w:sz w:val="20"/>
                <w:szCs w:val="20"/>
              </w:rPr>
              <w:lastRenderedPageBreak/>
              <w:t>Le cadre règlementaire général en matière d’aides d’Etat est précisé au sein de l’annexe « </w:t>
            </w:r>
            <w:r w:rsidRPr="008D5D98">
              <w:rPr>
                <w:i/>
                <w:iCs/>
                <w:sz w:val="20"/>
                <w:szCs w:val="20"/>
              </w:rPr>
              <w:t>Fiche généralités aides d’Etat</w:t>
            </w:r>
            <w:r w:rsidRPr="008E4DE3">
              <w:rPr>
                <w:sz w:val="20"/>
                <w:szCs w:val="20"/>
              </w:rPr>
              <w:t> ».</w:t>
            </w:r>
          </w:p>
          <w:p w14:paraId="5C5C0CDF" w14:textId="77777777" w:rsidR="008E4DE3" w:rsidRPr="008E4DE3" w:rsidRDefault="008E4DE3" w:rsidP="00C50004">
            <w:pPr>
              <w:spacing w:before="120" w:after="120" w:line="276" w:lineRule="auto"/>
              <w:jc w:val="both"/>
              <w:rPr>
                <w:sz w:val="20"/>
                <w:szCs w:val="20"/>
              </w:rPr>
            </w:pPr>
            <w:r w:rsidRPr="008E4DE3">
              <w:rPr>
                <w:sz w:val="20"/>
                <w:szCs w:val="20"/>
              </w:rPr>
              <w:t xml:space="preserve">L’application de la règlementation relative aux aides d’Etat se fait au moment de l’instruction et de l’octroi de chaque financement lorsque la mesure d’aide est susceptible d’être qualifiée d’aide d’Etat au sens de la règlementation européenne. Si le porteur est soumis à cette règlementation compte tenu de son statut, de son activité, de la nature de l’opération et de la mesure d’aide, l’autorité de gestion vérifiera si l’aide est compatible avec les règles européennes.  </w:t>
            </w:r>
          </w:p>
          <w:p w14:paraId="5266BFB8" w14:textId="32583FA2" w:rsidR="008E4DE3" w:rsidRPr="008E4DE3" w:rsidRDefault="008E4DE3" w:rsidP="004D50EF">
            <w:pPr>
              <w:spacing w:before="120" w:line="276" w:lineRule="auto"/>
              <w:jc w:val="both"/>
              <w:rPr>
                <w:sz w:val="20"/>
                <w:szCs w:val="20"/>
              </w:rPr>
            </w:pPr>
            <w:r w:rsidRPr="008E4DE3">
              <w:rPr>
                <w:sz w:val="20"/>
                <w:szCs w:val="20"/>
              </w:rPr>
              <w:lastRenderedPageBreak/>
              <w:t>La ou les base(s) juridique(s) exposée(s) ci-dessous constituent une indication pour l’analyse de cette compatibilité et n’engage(nt) pas l’autorité de gestion sur la qualification définitive des projets de subventions au regard de la règlementation des aides d’Etat. Il s’agit d’une indication purement informative sans valeur juridique. Seule la décision finale d’octroi engage l’autorité de gestion sous réserve que le porteur respecte l’ensemble des conditions générales et particulières régissant la mesure d’aide.</w:t>
            </w:r>
          </w:p>
          <w:p w14:paraId="4AD5E796" w14:textId="77777777" w:rsidR="008E4DE3" w:rsidRPr="0065067B" w:rsidRDefault="008E4DE3" w:rsidP="008E4DE3">
            <w:pPr>
              <w:spacing w:line="276" w:lineRule="auto"/>
              <w:jc w:val="both"/>
              <w:rPr>
                <w:sz w:val="18"/>
                <w:szCs w:val="18"/>
              </w:rPr>
            </w:pPr>
          </w:p>
          <w:p w14:paraId="2CDAA88A" w14:textId="77777777" w:rsidR="00A96A3D" w:rsidRDefault="008E4DE3" w:rsidP="00A96A3D">
            <w:pPr>
              <w:spacing w:line="276" w:lineRule="auto"/>
              <w:jc w:val="both"/>
              <w:rPr>
                <w:b/>
                <w:bCs/>
                <w:sz w:val="20"/>
                <w:szCs w:val="20"/>
              </w:rPr>
            </w:pPr>
            <w:r w:rsidRPr="008E4DE3">
              <w:rPr>
                <w:b/>
                <w:bCs/>
                <w:sz w:val="20"/>
                <w:szCs w:val="20"/>
              </w:rPr>
              <w:t xml:space="preserve">Base juridique (susceptible d’évoluer en cours de programmation) : </w:t>
            </w:r>
          </w:p>
          <w:p w14:paraId="1967C564" w14:textId="77777777" w:rsidR="00EE40BD" w:rsidRDefault="008E4DE3" w:rsidP="00EE40BD">
            <w:pPr>
              <w:spacing w:before="120" w:after="120" w:line="276" w:lineRule="auto"/>
              <w:jc w:val="both"/>
              <w:rPr>
                <w:b/>
                <w:bCs/>
                <w:sz w:val="20"/>
                <w:szCs w:val="20"/>
              </w:rPr>
            </w:pPr>
            <w:r w:rsidRPr="008E4DE3">
              <w:rPr>
                <w:sz w:val="20"/>
                <w:szCs w:val="20"/>
              </w:rPr>
              <w:t>Les projets qualifiés hors aides d’Etat, ne respectant pas l’un des cinq critères de l’analyse aide d’Etat, se feront au cas par cas après instruction du dossier au regard de la communication sur la notion d’aides d’Etat (2016/C262/01).</w:t>
            </w:r>
          </w:p>
          <w:p w14:paraId="79311D2B" w14:textId="3B006677" w:rsidR="008E4DE3" w:rsidRPr="00EE40BD" w:rsidRDefault="008E4DE3" w:rsidP="00EE40BD">
            <w:pPr>
              <w:spacing w:before="120" w:after="60" w:line="276" w:lineRule="auto"/>
              <w:jc w:val="both"/>
              <w:rPr>
                <w:b/>
                <w:bCs/>
                <w:sz w:val="20"/>
                <w:szCs w:val="20"/>
              </w:rPr>
            </w:pPr>
            <w:r w:rsidRPr="008E4DE3">
              <w:rPr>
                <w:sz w:val="20"/>
                <w:szCs w:val="20"/>
              </w:rPr>
              <w:t>Les projets entrant dans le champ des aides d’Etat pourront être soutenus sur la base d’un des textes suivants :</w:t>
            </w:r>
          </w:p>
          <w:p w14:paraId="6C38F19B" w14:textId="6D7F519D" w:rsidR="008E4DE3" w:rsidRPr="008E4DE3" w:rsidRDefault="008E4DE3" w:rsidP="00760274">
            <w:pPr>
              <w:numPr>
                <w:ilvl w:val="0"/>
                <w:numId w:val="4"/>
              </w:numPr>
              <w:spacing w:line="276" w:lineRule="auto"/>
              <w:jc w:val="both"/>
              <w:rPr>
                <w:sz w:val="20"/>
                <w:szCs w:val="20"/>
              </w:rPr>
            </w:pPr>
            <w:r w:rsidRPr="008E4DE3">
              <w:rPr>
                <w:sz w:val="20"/>
                <w:szCs w:val="20"/>
              </w:rPr>
              <w:t>Règlement (UE) n°1407/2013 relatif à l’application des articles 107 et 108 du traité sur le fonctionnement de l’Union européenne aux aides de minimis, modifié par le règlement (UE) n°2020/972 de la Commission du 2 juillet 2020</w:t>
            </w:r>
            <w:r w:rsidR="00743936">
              <w:rPr>
                <w:sz w:val="20"/>
                <w:szCs w:val="20"/>
              </w:rPr>
              <w:t>.</w:t>
            </w:r>
          </w:p>
          <w:p w14:paraId="5F99B23B" w14:textId="4A005BB8" w:rsidR="008E4DE3" w:rsidRPr="008E4DE3" w:rsidRDefault="008E4DE3" w:rsidP="00760274">
            <w:pPr>
              <w:numPr>
                <w:ilvl w:val="0"/>
                <w:numId w:val="6"/>
              </w:numPr>
              <w:spacing w:line="276" w:lineRule="auto"/>
              <w:jc w:val="both"/>
              <w:rPr>
                <w:sz w:val="20"/>
                <w:szCs w:val="20"/>
              </w:rPr>
            </w:pPr>
            <w:r w:rsidRPr="008E4DE3">
              <w:rPr>
                <w:sz w:val="20"/>
                <w:szCs w:val="20"/>
              </w:rPr>
              <w:t>Règlement (UE) n°360/2012 relatif à l’application des articles 107 et 108 du traité sur le fonctionnement de l'Union européenne aux aides de minimis accordées à des entreprises fournissant des services d’intérêt économique général, modifié par le règlement (UE) n°2020/1474 de la Commission du 13 octobre 2020</w:t>
            </w:r>
            <w:r w:rsidR="00743936">
              <w:rPr>
                <w:sz w:val="20"/>
                <w:szCs w:val="20"/>
              </w:rPr>
              <w:t>.</w:t>
            </w:r>
          </w:p>
          <w:p w14:paraId="26576311" w14:textId="77777777" w:rsidR="008E4DE3" w:rsidRPr="008E4DE3" w:rsidRDefault="008E4DE3" w:rsidP="00760274">
            <w:pPr>
              <w:numPr>
                <w:ilvl w:val="0"/>
                <w:numId w:val="7"/>
              </w:numPr>
              <w:spacing w:line="276" w:lineRule="auto"/>
              <w:jc w:val="both"/>
              <w:rPr>
                <w:sz w:val="20"/>
                <w:szCs w:val="20"/>
              </w:rPr>
            </w:pPr>
            <w:r w:rsidRPr="008E4DE3">
              <w:rPr>
                <w:sz w:val="20"/>
                <w:szCs w:val="20"/>
              </w:rPr>
              <w:t>Décision de la Commission du 20 décembre 2011 relative à l’application de l’article 106, paragraphe 2, du traité sur le fonctionnement de l’Union européenne aux aides d’État sous forme de compensations de service public octroyées à certaines entreprises chargées de la gestion de services d’intérêt économique général.</w:t>
            </w:r>
          </w:p>
        </w:tc>
      </w:tr>
      <w:tr w:rsidR="008E4DE3" w:rsidRPr="008E4DE3" w14:paraId="27963428" w14:textId="77777777" w:rsidTr="39C45D2B">
        <w:trPr>
          <w:trHeight w:val="990"/>
        </w:trPr>
        <w:tc>
          <w:tcPr>
            <w:tcW w:w="2557" w:type="dxa"/>
            <w:vMerge/>
          </w:tcPr>
          <w:p w14:paraId="32A2E977" w14:textId="77777777" w:rsidR="008E4DE3" w:rsidRPr="008E4DE3" w:rsidRDefault="008E4DE3" w:rsidP="00760274">
            <w:pPr>
              <w:numPr>
                <w:ilvl w:val="0"/>
                <w:numId w:val="5"/>
              </w:numPr>
              <w:spacing w:line="276" w:lineRule="auto"/>
              <w:rPr>
                <w:b/>
                <w:bCs/>
              </w:rPr>
            </w:pPr>
          </w:p>
        </w:tc>
        <w:tc>
          <w:tcPr>
            <w:tcW w:w="8784" w:type="dxa"/>
            <w:gridSpan w:val="2"/>
          </w:tcPr>
          <w:tbl>
            <w:tblPr>
              <w:tblStyle w:val="Grilledutableau"/>
              <w:tblW w:w="86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8"/>
              <w:gridCol w:w="7765"/>
            </w:tblGrid>
            <w:tr w:rsidR="008E4DE3" w:rsidRPr="008E4DE3" w14:paraId="3E1B473A" w14:textId="77777777">
              <w:trPr>
                <w:trHeight w:val="465"/>
              </w:trPr>
              <w:tc>
                <w:tcPr>
                  <w:tcW w:w="888" w:type="dxa"/>
                </w:tcPr>
                <w:p w14:paraId="2EE3490F" w14:textId="77777777" w:rsidR="008E4DE3" w:rsidRPr="008E4DE3" w:rsidRDefault="008E4DE3" w:rsidP="008E4DE3">
                  <w:pPr>
                    <w:spacing w:line="276" w:lineRule="auto"/>
                    <w:jc w:val="both"/>
                    <w:rPr>
                      <w:sz w:val="20"/>
                      <w:szCs w:val="20"/>
                    </w:rPr>
                  </w:pPr>
                  <w:r w:rsidRPr="008E4DE3">
                    <w:rPr>
                      <w:noProof/>
                      <w:sz w:val="20"/>
                      <w:szCs w:val="20"/>
                    </w:rPr>
                    <w:drawing>
                      <wp:inline distT="0" distB="0" distL="0" distR="0" wp14:anchorId="160BA646" wp14:editId="57F68067">
                        <wp:extent cx="343262" cy="402336"/>
                        <wp:effectExtent l="0" t="0" r="0" b="0"/>
                        <wp:docPr id="895891277" name="Picture 895891277" descr="Avertissemen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que 3" descr="Avertissement avec un remplissage uni"/>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76773" cy="441615"/>
                                </a:xfrm>
                                <a:prstGeom prst="rect">
                                  <a:avLst/>
                                </a:prstGeom>
                              </pic:spPr>
                            </pic:pic>
                          </a:graphicData>
                        </a:graphic>
                      </wp:inline>
                    </w:drawing>
                  </w:r>
                </w:p>
              </w:tc>
              <w:tc>
                <w:tcPr>
                  <w:tcW w:w="7765" w:type="dxa"/>
                </w:tcPr>
                <w:p w14:paraId="607686B9" w14:textId="77777777" w:rsidR="008E4DE3" w:rsidRPr="008E4DE3" w:rsidRDefault="008E4DE3" w:rsidP="00A96A3D">
                  <w:pPr>
                    <w:spacing w:before="120" w:line="276" w:lineRule="auto"/>
                    <w:jc w:val="both"/>
                    <w:rPr>
                      <w:sz w:val="20"/>
                      <w:szCs w:val="20"/>
                    </w:rPr>
                  </w:pPr>
                  <w:r w:rsidRPr="008E4DE3">
                    <w:rPr>
                      <w:sz w:val="20"/>
                      <w:szCs w:val="20"/>
                    </w:rPr>
                    <w:t>Si l’opération est soumise à un régime d’aide d’Etat, la règle de l’incitativité de l’aide s’applique (sauf exceptions).</w:t>
                  </w:r>
                </w:p>
              </w:tc>
            </w:tr>
          </w:tbl>
          <w:p w14:paraId="37886053" w14:textId="77777777" w:rsidR="008E4DE3" w:rsidRPr="008E4DE3" w:rsidRDefault="008E4DE3" w:rsidP="00A96A3D">
            <w:pPr>
              <w:spacing w:before="120" w:line="276" w:lineRule="auto"/>
              <w:jc w:val="both"/>
              <w:rPr>
                <w:sz w:val="20"/>
                <w:szCs w:val="20"/>
              </w:rPr>
            </w:pPr>
            <w:r w:rsidRPr="008E4DE3">
              <w:rPr>
                <w:sz w:val="20"/>
                <w:szCs w:val="20"/>
              </w:rPr>
              <w:t xml:space="preserve">Ce principe vise à garantir que l'aide constitue une incitation à développer des activités ou projets nécessaires et à exclure les aides en faveur d'activités que le bénéficiaire entreprendrait de toute façon, même en l'absence d'aide. </w:t>
            </w:r>
          </w:p>
          <w:p w14:paraId="05E42B58" w14:textId="77777777" w:rsidR="008E4DE3" w:rsidRPr="008E4DE3" w:rsidRDefault="008E4DE3" w:rsidP="00743936">
            <w:pPr>
              <w:spacing w:before="120" w:line="276" w:lineRule="auto"/>
              <w:jc w:val="both"/>
              <w:rPr>
                <w:sz w:val="20"/>
                <w:szCs w:val="20"/>
              </w:rPr>
            </w:pPr>
            <w:r w:rsidRPr="008E4DE3">
              <w:rPr>
                <w:sz w:val="20"/>
                <w:szCs w:val="20"/>
              </w:rPr>
              <w:t xml:space="preserve">Ainsi, pour démontrer cet effet incitatif, le porteur de projet doit présenter une demande d’aide </w:t>
            </w:r>
            <w:r w:rsidRPr="008E4DE3">
              <w:rPr>
                <w:b/>
                <w:bCs/>
                <w:sz w:val="20"/>
                <w:szCs w:val="20"/>
              </w:rPr>
              <w:t>avant le début des travaux liés au projet ou à l’activité en question</w:t>
            </w:r>
            <w:r w:rsidRPr="008E4DE3">
              <w:rPr>
                <w:sz w:val="20"/>
                <w:szCs w:val="20"/>
              </w:rPr>
              <w:t>, qui contient au minimum les informations suivantes :</w:t>
            </w:r>
          </w:p>
          <w:p w14:paraId="1D5F849F" w14:textId="77777777" w:rsidR="008E4DE3" w:rsidRPr="008E4DE3" w:rsidRDefault="008E4DE3" w:rsidP="008E4DE3">
            <w:pPr>
              <w:spacing w:line="276" w:lineRule="auto"/>
              <w:jc w:val="both"/>
              <w:rPr>
                <w:sz w:val="20"/>
                <w:szCs w:val="20"/>
              </w:rPr>
            </w:pPr>
            <w:r w:rsidRPr="008E4DE3">
              <w:rPr>
                <w:sz w:val="20"/>
                <w:szCs w:val="20"/>
              </w:rPr>
              <w:t>- le nom et la taille de l’entreprise ;</w:t>
            </w:r>
          </w:p>
          <w:p w14:paraId="746F7D55" w14:textId="77777777" w:rsidR="008E4DE3" w:rsidRPr="008E4DE3" w:rsidRDefault="008E4DE3" w:rsidP="008E4DE3">
            <w:pPr>
              <w:spacing w:line="276" w:lineRule="auto"/>
              <w:jc w:val="both"/>
              <w:rPr>
                <w:sz w:val="20"/>
                <w:szCs w:val="20"/>
              </w:rPr>
            </w:pPr>
            <w:r w:rsidRPr="008E4DE3">
              <w:rPr>
                <w:sz w:val="20"/>
                <w:szCs w:val="20"/>
              </w:rPr>
              <w:t>- une description du projet, de sa durée et de sa localisation ;</w:t>
            </w:r>
          </w:p>
          <w:p w14:paraId="74282135" w14:textId="77777777" w:rsidR="008E4DE3" w:rsidRPr="008E4DE3" w:rsidRDefault="008E4DE3" w:rsidP="008E4DE3">
            <w:pPr>
              <w:spacing w:line="276" w:lineRule="auto"/>
              <w:jc w:val="both"/>
              <w:rPr>
                <w:sz w:val="20"/>
                <w:szCs w:val="20"/>
              </w:rPr>
            </w:pPr>
            <w:r w:rsidRPr="008E4DE3">
              <w:rPr>
                <w:sz w:val="20"/>
                <w:szCs w:val="20"/>
              </w:rPr>
              <w:t>- une liste des coûts du projet ;</w:t>
            </w:r>
          </w:p>
          <w:p w14:paraId="428EEDDB" w14:textId="77777777" w:rsidR="008E4DE3" w:rsidRPr="008E4DE3" w:rsidRDefault="008E4DE3" w:rsidP="00EE40BD">
            <w:pPr>
              <w:spacing w:after="120" w:line="276" w:lineRule="auto"/>
              <w:jc w:val="both"/>
              <w:rPr>
                <w:sz w:val="20"/>
                <w:szCs w:val="20"/>
              </w:rPr>
            </w:pPr>
            <w:r w:rsidRPr="008E4DE3">
              <w:rPr>
                <w:sz w:val="20"/>
                <w:szCs w:val="20"/>
              </w:rPr>
              <w:t>- le type d’aide demandé et son montant.</w:t>
            </w:r>
          </w:p>
          <w:p w14:paraId="5E34B87B" w14:textId="77777777" w:rsidR="008E4DE3" w:rsidRPr="008E4DE3" w:rsidRDefault="008E4DE3" w:rsidP="008E4DE3">
            <w:pPr>
              <w:spacing w:line="276" w:lineRule="auto"/>
              <w:jc w:val="both"/>
              <w:rPr>
                <w:sz w:val="20"/>
                <w:szCs w:val="20"/>
              </w:rPr>
            </w:pPr>
            <w:r w:rsidRPr="008E4DE3">
              <w:rPr>
                <w:i/>
                <w:iCs/>
                <w:sz w:val="20"/>
                <w:szCs w:val="20"/>
              </w:rPr>
              <w:t>Si cet effet n’est pas démontré,</w:t>
            </w:r>
            <w:r w:rsidRPr="008E4DE3">
              <w:rPr>
                <w:sz w:val="20"/>
                <w:szCs w:val="20"/>
              </w:rPr>
              <w:t xml:space="preserve"> alors l’aide n’est pas autorisée. </w:t>
            </w:r>
          </w:p>
        </w:tc>
      </w:tr>
      <w:tr w:rsidR="008E4DE3" w:rsidRPr="008E4DE3" w14:paraId="681213C1" w14:textId="77777777" w:rsidTr="39C45D2B">
        <w:trPr>
          <w:trHeight w:val="3449"/>
        </w:trPr>
        <w:tc>
          <w:tcPr>
            <w:tcW w:w="2557" w:type="dxa"/>
            <w:vAlign w:val="center"/>
          </w:tcPr>
          <w:p w14:paraId="485BB2DB" w14:textId="77777777" w:rsidR="008E4DE3" w:rsidRPr="008E4DE3" w:rsidRDefault="008E4DE3" w:rsidP="008E4DE3">
            <w:pPr>
              <w:spacing w:line="276" w:lineRule="auto"/>
              <w:jc w:val="center"/>
              <w:rPr>
                <w:b/>
                <w:bCs/>
              </w:rPr>
            </w:pPr>
            <w:r w:rsidRPr="008E4DE3">
              <w:rPr>
                <w:b/>
                <w:bCs/>
                <w:sz w:val="20"/>
                <w:szCs w:val="20"/>
              </w:rPr>
              <w:t>Commande publique</w:t>
            </w:r>
          </w:p>
        </w:tc>
        <w:tc>
          <w:tcPr>
            <w:tcW w:w="8784" w:type="dxa"/>
            <w:gridSpan w:val="2"/>
          </w:tcPr>
          <w:p w14:paraId="00E94A9D" w14:textId="77777777" w:rsidR="008E4DE3" w:rsidRPr="008E4DE3" w:rsidRDefault="008E4DE3" w:rsidP="00640773">
            <w:pPr>
              <w:spacing w:before="120" w:line="276" w:lineRule="auto"/>
              <w:jc w:val="both"/>
              <w:rPr>
                <w:sz w:val="20"/>
                <w:szCs w:val="20"/>
              </w:rPr>
            </w:pPr>
            <w:r w:rsidRPr="008E4DE3">
              <w:rPr>
                <w:sz w:val="20"/>
                <w:szCs w:val="20"/>
              </w:rPr>
              <w:t>Il est nécessaire de vérifier la nature juridique de la structure porteuse du projet.</w:t>
            </w:r>
          </w:p>
          <w:p w14:paraId="10E00E5A" w14:textId="6AEC7273" w:rsidR="008E4DE3" w:rsidRPr="008E4DE3" w:rsidRDefault="008E4DE3" w:rsidP="000F0D6E">
            <w:pPr>
              <w:spacing w:before="120" w:line="276" w:lineRule="auto"/>
              <w:jc w:val="both"/>
              <w:rPr>
                <w:sz w:val="20"/>
                <w:szCs w:val="20"/>
              </w:rPr>
            </w:pPr>
            <w:r w:rsidRPr="008E4DE3">
              <w:rPr>
                <w:sz w:val="20"/>
                <w:szCs w:val="20"/>
              </w:rPr>
              <w:t xml:space="preserve">Cas des </w:t>
            </w:r>
            <w:r w:rsidRPr="008E4DE3">
              <w:rPr>
                <w:b/>
                <w:bCs/>
                <w:sz w:val="20"/>
                <w:szCs w:val="20"/>
              </w:rPr>
              <w:t>personnes morales de droit privé</w:t>
            </w:r>
            <w:r w:rsidRPr="008E4DE3">
              <w:rPr>
                <w:sz w:val="20"/>
                <w:szCs w:val="20"/>
              </w:rPr>
              <w:t xml:space="preserve"> soumises à la commande publique :</w:t>
            </w:r>
          </w:p>
          <w:p w14:paraId="759884E4" w14:textId="77777777" w:rsidR="008E4DE3" w:rsidRPr="008E4DE3" w:rsidRDefault="008E4DE3" w:rsidP="007B085F">
            <w:pPr>
              <w:spacing w:line="276" w:lineRule="auto"/>
              <w:ind w:left="708"/>
              <w:jc w:val="both"/>
              <w:rPr>
                <w:sz w:val="20"/>
                <w:szCs w:val="20"/>
              </w:rPr>
            </w:pPr>
            <w:r w:rsidRPr="008E4DE3">
              <w:rPr>
                <w:sz w:val="20"/>
                <w:szCs w:val="20"/>
              </w:rPr>
              <w:t xml:space="preserve">- les « personnes morales de droit privé » créées pour satisfaire spécifiquement des besoins d’intérêt général ayant un caractère autre qu’industriel ou commercial, et dont : </w:t>
            </w:r>
          </w:p>
          <w:p w14:paraId="772F2805" w14:textId="77777777" w:rsidR="008E4DE3" w:rsidRPr="008E4DE3" w:rsidRDefault="008E4DE3" w:rsidP="007B085F">
            <w:pPr>
              <w:spacing w:line="276" w:lineRule="auto"/>
              <w:ind w:left="1416"/>
              <w:jc w:val="both"/>
              <w:rPr>
                <w:sz w:val="20"/>
                <w:szCs w:val="20"/>
              </w:rPr>
            </w:pPr>
            <w:r w:rsidRPr="008E4DE3">
              <w:rPr>
                <w:sz w:val="20"/>
                <w:szCs w:val="20"/>
              </w:rPr>
              <w:t xml:space="preserve">a) soit l’activité est financée majoritairement par un pouvoir adjudicateur, </w:t>
            </w:r>
          </w:p>
          <w:p w14:paraId="671F3822" w14:textId="77777777" w:rsidR="008E4DE3" w:rsidRPr="008E4DE3" w:rsidRDefault="008E4DE3" w:rsidP="007B085F">
            <w:pPr>
              <w:spacing w:line="276" w:lineRule="auto"/>
              <w:ind w:left="1416"/>
              <w:jc w:val="both"/>
              <w:rPr>
                <w:sz w:val="20"/>
                <w:szCs w:val="20"/>
              </w:rPr>
            </w:pPr>
            <w:r w:rsidRPr="008E4DE3">
              <w:rPr>
                <w:sz w:val="20"/>
                <w:szCs w:val="20"/>
              </w:rPr>
              <w:t>b) soit la gestion est soumise à un contrôle par un pouvoir adjudicateur,</w:t>
            </w:r>
          </w:p>
          <w:p w14:paraId="33B954FB" w14:textId="77777777" w:rsidR="008E4DE3" w:rsidRPr="008E4DE3" w:rsidRDefault="008E4DE3" w:rsidP="007B085F">
            <w:pPr>
              <w:spacing w:line="276" w:lineRule="auto"/>
              <w:ind w:left="1416"/>
              <w:jc w:val="both"/>
              <w:rPr>
                <w:sz w:val="20"/>
                <w:szCs w:val="20"/>
              </w:rPr>
            </w:pPr>
            <w:r w:rsidRPr="008E4DE3">
              <w:rPr>
                <w:sz w:val="20"/>
                <w:szCs w:val="20"/>
              </w:rPr>
              <w:t>c) soit l’organe d’administration, de direction ou de surveillance est composé de membres dont plus de la moitié sont désignés par un pouvoir adjudicateur ;</w:t>
            </w:r>
          </w:p>
          <w:p w14:paraId="67FDF8D9" w14:textId="77777777" w:rsidR="008E4DE3" w:rsidRPr="008E4DE3" w:rsidRDefault="008E4DE3" w:rsidP="007B085F">
            <w:pPr>
              <w:spacing w:line="276" w:lineRule="auto"/>
              <w:ind w:left="708"/>
              <w:jc w:val="both"/>
              <w:rPr>
                <w:sz w:val="20"/>
                <w:szCs w:val="20"/>
              </w:rPr>
            </w:pPr>
            <w:r w:rsidRPr="008E4DE3">
              <w:rPr>
                <w:sz w:val="20"/>
                <w:szCs w:val="20"/>
              </w:rPr>
              <w:t>- les organismes de droit privé constitués par des pouvoirs adjudicateurs dans l’objectif de réaliser certaines activités en commun.</w:t>
            </w:r>
          </w:p>
          <w:p w14:paraId="15408A9B" w14:textId="1B9A3A19" w:rsidR="002961A8" w:rsidRPr="002961A8" w:rsidRDefault="008E4DE3" w:rsidP="0065067B">
            <w:pPr>
              <w:spacing w:before="120" w:after="120" w:line="276" w:lineRule="auto"/>
              <w:jc w:val="both"/>
              <w:rPr>
                <w:sz w:val="20"/>
                <w:szCs w:val="20"/>
              </w:rPr>
            </w:pPr>
            <w:r w:rsidRPr="008E4DE3">
              <w:rPr>
                <w:sz w:val="20"/>
                <w:szCs w:val="20"/>
              </w:rPr>
              <w:t xml:space="preserve">Les </w:t>
            </w:r>
            <w:r w:rsidRPr="008E4DE3">
              <w:rPr>
                <w:b/>
                <w:bCs/>
                <w:sz w:val="20"/>
                <w:szCs w:val="20"/>
              </w:rPr>
              <w:t>personnes morales de droit public</w:t>
            </w:r>
            <w:r w:rsidRPr="008E4DE3">
              <w:rPr>
                <w:sz w:val="20"/>
                <w:szCs w:val="20"/>
              </w:rPr>
              <w:t xml:space="preserve"> sont soumises aux règles de la commande publique (Etat, collectivité territoriale, etc..).</w:t>
            </w:r>
            <w:r w:rsidR="002961A8">
              <w:rPr>
                <w:sz w:val="20"/>
                <w:szCs w:val="20"/>
              </w:rPr>
              <w:tab/>
            </w:r>
          </w:p>
        </w:tc>
      </w:tr>
      <w:tr w:rsidR="008E4DE3" w:rsidRPr="008E4DE3" w14:paraId="6A3542E5" w14:textId="77777777" w:rsidTr="39C45D2B">
        <w:trPr>
          <w:trHeight w:val="1120"/>
        </w:trPr>
        <w:tc>
          <w:tcPr>
            <w:tcW w:w="11341" w:type="dxa"/>
            <w:gridSpan w:val="3"/>
            <w:vAlign w:val="center"/>
          </w:tcPr>
          <w:p w14:paraId="188CBCD7" w14:textId="77777777" w:rsidR="008E4DE3" w:rsidRPr="008E4DE3" w:rsidRDefault="008E4DE3" w:rsidP="00D854A2">
            <w:pPr>
              <w:spacing w:before="120" w:after="120" w:line="276" w:lineRule="auto"/>
              <w:jc w:val="both"/>
              <w:rPr>
                <w:sz w:val="20"/>
                <w:szCs w:val="20"/>
              </w:rPr>
            </w:pPr>
            <w:r w:rsidRPr="008E4DE3">
              <w:rPr>
                <w:sz w:val="20"/>
                <w:szCs w:val="20"/>
              </w:rPr>
              <w:lastRenderedPageBreak/>
              <w:t xml:space="preserve">Les porteurs de projets non soumis à la commande publique doivent respecter </w:t>
            </w:r>
            <w:r w:rsidRPr="008E4DE3">
              <w:rPr>
                <w:b/>
                <w:bCs/>
                <w:sz w:val="20"/>
                <w:szCs w:val="20"/>
              </w:rPr>
              <w:t>l’obligation de mise en concurrence</w:t>
            </w:r>
            <w:r w:rsidRPr="008E4DE3">
              <w:rPr>
                <w:sz w:val="20"/>
                <w:szCs w:val="20"/>
              </w:rPr>
              <w:t xml:space="preserve"> pour tout achat de biens, de fournitures ou de services figurant en dépenses directes dans le plan de financement, supérieur ou égal à 1 000 EUR HT. La mise en concurrence est justifiée par la fourniture d’au moins trois devis ou autres. Toutefois, si le porteur est soumis à des règles internes de procédure d’achat plus contraignantes, ce sont ces règles qui s’appliquent.</w:t>
            </w:r>
          </w:p>
        </w:tc>
      </w:tr>
      <w:tr w:rsidR="008E4DE3" w:rsidRPr="008E4DE3" w14:paraId="160C2CB1" w14:textId="77777777" w:rsidTr="39C45D2B">
        <w:trPr>
          <w:trHeight w:val="510"/>
        </w:trPr>
        <w:tc>
          <w:tcPr>
            <w:tcW w:w="2557" w:type="dxa"/>
            <w:vMerge w:val="restart"/>
            <w:vAlign w:val="center"/>
          </w:tcPr>
          <w:p w14:paraId="18542D46" w14:textId="77777777" w:rsidR="008E4DE3" w:rsidRPr="008E4DE3" w:rsidRDefault="008E4DE3" w:rsidP="008E4DE3">
            <w:pPr>
              <w:spacing w:line="276" w:lineRule="auto"/>
              <w:jc w:val="center"/>
              <w:rPr>
                <w:b/>
                <w:bCs/>
              </w:rPr>
            </w:pPr>
            <w:r w:rsidRPr="008E4DE3">
              <w:rPr>
                <w:b/>
                <w:bCs/>
                <w:sz w:val="20"/>
                <w:szCs w:val="20"/>
              </w:rPr>
              <w:t>Indicateurs</w:t>
            </w:r>
          </w:p>
        </w:tc>
        <w:tc>
          <w:tcPr>
            <w:tcW w:w="1560" w:type="dxa"/>
            <w:vAlign w:val="center"/>
          </w:tcPr>
          <w:p w14:paraId="7059A75A" w14:textId="77777777" w:rsidR="008E4DE3" w:rsidRPr="008E4DE3" w:rsidRDefault="008E4DE3" w:rsidP="008E4DE3">
            <w:pPr>
              <w:spacing w:line="276" w:lineRule="auto"/>
              <w:rPr>
                <w:sz w:val="20"/>
                <w:szCs w:val="20"/>
              </w:rPr>
            </w:pPr>
            <w:r w:rsidRPr="008E4DE3">
              <w:rPr>
                <w:sz w:val="20"/>
                <w:szCs w:val="20"/>
              </w:rPr>
              <w:t xml:space="preserve">Indicateurs </w:t>
            </w:r>
            <w:r w:rsidRPr="008E4DE3">
              <w:rPr>
                <w:sz w:val="20"/>
                <w:szCs w:val="20"/>
              </w:rPr>
              <w:br/>
              <w:t>de réalisation</w:t>
            </w:r>
          </w:p>
        </w:tc>
        <w:tc>
          <w:tcPr>
            <w:tcW w:w="7224" w:type="dxa"/>
          </w:tcPr>
          <w:p w14:paraId="3A760821" w14:textId="77777777" w:rsidR="008E4DE3" w:rsidRPr="008E4DE3" w:rsidRDefault="008E4DE3" w:rsidP="00B82BB3">
            <w:pPr>
              <w:spacing w:before="120" w:line="276" w:lineRule="auto"/>
              <w:jc w:val="both"/>
              <w:rPr>
                <w:i/>
                <w:iCs/>
                <w:sz w:val="20"/>
                <w:szCs w:val="20"/>
              </w:rPr>
            </w:pPr>
            <w:r w:rsidRPr="008E4DE3">
              <w:rPr>
                <w:sz w:val="20"/>
                <w:szCs w:val="20"/>
              </w:rPr>
              <w:t>EECO01 - Nombre total participants</w:t>
            </w:r>
          </w:p>
          <w:p w14:paraId="5D22AB22" w14:textId="77777777" w:rsidR="008E4DE3" w:rsidRPr="008E4DE3" w:rsidRDefault="008E4DE3" w:rsidP="008E4DE3">
            <w:pPr>
              <w:spacing w:line="276" w:lineRule="auto"/>
              <w:jc w:val="both"/>
              <w:rPr>
                <w:sz w:val="20"/>
                <w:szCs w:val="20"/>
              </w:rPr>
            </w:pPr>
          </w:p>
        </w:tc>
      </w:tr>
      <w:tr w:rsidR="008E4DE3" w:rsidRPr="008E4DE3" w14:paraId="524DCF33" w14:textId="77777777" w:rsidTr="39C45D2B">
        <w:trPr>
          <w:trHeight w:val="447"/>
        </w:trPr>
        <w:tc>
          <w:tcPr>
            <w:tcW w:w="2557" w:type="dxa"/>
            <w:vMerge/>
            <w:vAlign w:val="center"/>
          </w:tcPr>
          <w:p w14:paraId="6C1B4702" w14:textId="77777777" w:rsidR="008E4DE3" w:rsidRPr="008E4DE3" w:rsidRDefault="008E4DE3" w:rsidP="00760274">
            <w:pPr>
              <w:numPr>
                <w:ilvl w:val="0"/>
                <w:numId w:val="5"/>
              </w:numPr>
              <w:spacing w:line="276" w:lineRule="auto"/>
              <w:rPr>
                <w:b/>
                <w:bCs/>
              </w:rPr>
            </w:pPr>
          </w:p>
        </w:tc>
        <w:tc>
          <w:tcPr>
            <w:tcW w:w="1560" w:type="dxa"/>
            <w:vAlign w:val="center"/>
          </w:tcPr>
          <w:p w14:paraId="6D800738" w14:textId="77777777" w:rsidR="008E4DE3" w:rsidRPr="008E4DE3" w:rsidRDefault="008E4DE3" w:rsidP="008E4DE3">
            <w:pPr>
              <w:spacing w:line="276" w:lineRule="auto"/>
              <w:rPr>
                <w:sz w:val="20"/>
                <w:szCs w:val="20"/>
              </w:rPr>
            </w:pPr>
            <w:r w:rsidRPr="008E4DE3">
              <w:rPr>
                <w:sz w:val="20"/>
                <w:szCs w:val="20"/>
              </w:rPr>
              <w:t xml:space="preserve">Indicateurs </w:t>
            </w:r>
            <w:r w:rsidRPr="008E4DE3">
              <w:rPr>
                <w:sz w:val="20"/>
                <w:szCs w:val="20"/>
              </w:rPr>
              <w:br/>
              <w:t>de résultat</w:t>
            </w:r>
          </w:p>
        </w:tc>
        <w:tc>
          <w:tcPr>
            <w:tcW w:w="7224" w:type="dxa"/>
          </w:tcPr>
          <w:p w14:paraId="63A1D3F8" w14:textId="77777777" w:rsidR="008E4DE3" w:rsidRPr="008E4DE3" w:rsidRDefault="008E4DE3" w:rsidP="00B82BB3">
            <w:pPr>
              <w:spacing w:before="120" w:after="120" w:line="276" w:lineRule="auto"/>
              <w:jc w:val="both"/>
              <w:rPr>
                <w:sz w:val="20"/>
                <w:szCs w:val="20"/>
              </w:rPr>
            </w:pPr>
            <w:r w:rsidRPr="008E4DE3">
              <w:rPr>
                <w:sz w:val="20"/>
                <w:szCs w:val="20"/>
              </w:rPr>
              <w:t>ISR4f - Participants identifiés comme décrocheurs suivant un enseignement ou une formation au terme de leur participation</w:t>
            </w:r>
            <w:r w:rsidRPr="008E4DE3" w:rsidDel="000A0F14">
              <w:rPr>
                <w:sz w:val="20"/>
                <w:szCs w:val="20"/>
              </w:rPr>
              <w:t xml:space="preserve"> </w:t>
            </w:r>
          </w:p>
        </w:tc>
      </w:tr>
      <w:tr w:rsidR="008E4DE3" w:rsidRPr="008E4DE3" w14:paraId="7C73689B" w14:textId="77777777" w:rsidTr="39C45D2B">
        <w:trPr>
          <w:trHeight w:val="338"/>
        </w:trPr>
        <w:tc>
          <w:tcPr>
            <w:tcW w:w="11341" w:type="dxa"/>
            <w:gridSpan w:val="3"/>
            <w:vAlign w:val="center"/>
          </w:tcPr>
          <w:p w14:paraId="0E12A5E8" w14:textId="77777777" w:rsidR="008E4DE3" w:rsidRPr="008E4DE3" w:rsidRDefault="008E4DE3" w:rsidP="00B82BB3">
            <w:pPr>
              <w:spacing w:before="120" w:after="120" w:line="276" w:lineRule="auto"/>
              <w:jc w:val="both"/>
            </w:pPr>
            <w:r w:rsidRPr="008E4DE3">
              <w:rPr>
                <w:sz w:val="20"/>
                <w:szCs w:val="20"/>
              </w:rPr>
              <w:t>La définition des indicateurs et les modalités de transmission des données relatives à ces indicateurs sont indiquées dans la Fiche méthode 1 « de la demande de subvention au conventionnement ».</w:t>
            </w:r>
          </w:p>
        </w:tc>
      </w:tr>
      <w:tr w:rsidR="008E4DE3" w:rsidRPr="008E4DE3" w14:paraId="56FA3369" w14:textId="77777777" w:rsidTr="39C45D2B">
        <w:trPr>
          <w:trHeight w:val="434"/>
        </w:trPr>
        <w:tc>
          <w:tcPr>
            <w:tcW w:w="11341" w:type="dxa"/>
            <w:gridSpan w:val="3"/>
            <w:shd w:val="clear" w:color="auto" w:fill="B4C6E7" w:themeFill="accent1" w:themeFillTint="66"/>
            <w:vAlign w:val="center"/>
          </w:tcPr>
          <w:p w14:paraId="7280EC67" w14:textId="77777777" w:rsidR="008E4DE3" w:rsidRPr="008E4DE3" w:rsidRDefault="008E4DE3" w:rsidP="00B82BB3">
            <w:pPr>
              <w:spacing w:before="120" w:after="120" w:line="276" w:lineRule="auto"/>
              <w:jc w:val="center"/>
            </w:pPr>
            <w:r w:rsidRPr="008E4DE3">
              <w:rPr>
                <w:b/>
                <w:bCs/>
                <w:sz w:val="28"/>
                <w:szCs w:val="28"/>
              </w:rPr>
              <w:t>Modalités de mise en œuvre</w:t>
            </w:r>
          </w:p>
        </w:tc>
      </w:tr>
      <w:tr w:rsidR="008E4DE3" w:rsidRPr="008E4DE3" w14:paraId="28784CB0" w14:textId="77777777" w:rsidTr="39C45D2B">
        <w:trPr>
          <w:trHeight w:val="261"/>
        </w:trPr>
        <w:tc>
          <w:tcPr>
            <w:tcW w:w="2557" w:type="dxa"/>
          </w:tcPr>
          <w:p w14:paraId="5793370F" w14:textId="77777777" w:rsidR="008E4DE3" w:rsidRPr="008E4DE3" w:rsidRDefault="008E4DE3" w:rsidP="00B82BB3">
            <w:pPr>
              <w:spacing w:before="120" w:line="276" w:lineRule="auto"/>
              <w:jc w:val="center"/>
              <w:rPr>
                <w:b/>
                <w:bCs/>
                <w:sz w:val="20"/>
                <w:szCs w:val="20"/>
              </w:rPr>
            </w:pPr>
            <w:r w:rsidRPr="008E4DE3">
              <w:rPr>
                <w:b/>
                <w:bCs/>
                <w:sz w:val="20"/>
                <w:szCs w:val="20"/>
              </w:rPr>
              <w:t>Contact</w:t>
            </w:r>
          </w:p>
        </w:tc>
        <w:tc>
          <w:tcPr>
            <w:tcW w:w="8784" w:type="dxa"/>
            <w:gridSpan w:val="2"/>
          </w:tcPr>
          <w:p w14:paraId="45B41437" w14:textId="7F139511" w:rsidR="00A25B54" w:rsidRPr="00A25B54" w:rsidRDefault="0065067B" w:rsidP="00A25B54">
            <w:pPr>
              <w:spacing w:before="120" w:after="120" w:line="276" w:lineRule="auto"/>
              <w:rPr>
                <w:color w:val="0000FF"/>
                <w:sz w:val="20"/>
                <w:szCs w:val="20"/>
              </w:rPr>
            </w:pPr>
            <w:hyperlink r:id="rId14" w:history="1">
              <w:r w:rsidR="00A25B54" w:rsidRPr="00A25B54">
                <w:rPr>
                  <w:rStyle w:val="Lienhypertexte"/>
                  <w:color w:val="0000FF"/>
                  <w:sz w:val="20"/>
                  <w:szCs w:val="20"/>
                </w:rPr>
                <w:t>AAP-FSE@iledefrance.fr</w:t>
              </w:r>
            </w:hyperlink>
          </w:p>
        </w:tc>
      </w:tr>
    </w:tbl>
    <w:p w14:paraId="2A22B316" w14:textId="77777777" w:rsidR="008E4DE3" w:rsidRPr="008E4DE3" w:rsidRDefault="008E4DE3" w:rsidP="008E4DE3">
      <w:pPr>
        <w:spacing w:after="0" w:line="276" w:lineRule="auto"/>
        <w:rPr>
          <w:rFonts w:ascii="Arial" w:hAnsi="Arial" w:cs="Arial"/>
        </w:rPr>
      </w:pPr>
    </w:p>
    <w:p w14:paraId="103D20D9" w14:textId="77777777" w:rsidR="008E4DE3" w:rsidRPr="008E4DE3" w:rsidRDefault="008E4DE3" w:rsidP="008E4DE3">
      <w:pPr>
        <w:spacing w:after="0" w:line="276" w:lineRule="auto"/>
        <w:rPr>
          <w:rFonts w:ascii="Arial" w:hAnsi="Arial" w:cs="Arial"/>
        </w:rPr>
      </w:pPr>
    </w:p>
    <w:p w14:paraId="1421CDBF" w14:textId="77777777" w:rsidR="008E4DE3" w:rsidRPr="008E4DE3" w:rsidRDefault="008E4DE3" w:rsidP="008E4DE3">
      <w:pPr>
        <w:spacing w:after="0" w:line="276" w:lineRule="auto"/>
        <w:rPr>
          <w:rFonts w:ascii="Arial" w:hAnsi="Arial" w:cs="Arial"/>
        </w:rPr>
      </w:pPr>
    </w:p>
    <w:p w14:paraId="6FDED29A" w14:textId="77777777" w:rsidR="008E4DE3" w:rsidRPr="008E4DE3" w:rsidRDefault="008E4DE3" w:rsidP="008E4DE3">
      <w:pPr>
        <w:spacing w:after="0" w:line="276" w:lineRule="auto"/>
        <w:rPr>
          <w:rFonts w:ascii="Arial" w:hAnsi="Arial" w:cs="Arial"/>
        </w:rPr>
      </w:pPr>
    </w:p>
    <w:p w14:paraId="52426351" w14:textId="77777777" w:rsidR="008E4DE3" w:rsidRPr="008E4DE3" w:rsidRDefault="008E4DE3" w:rsidP="008E4DE3">
      <w:pPr>
        <w:spacing w:after="0" w:line="276" w:lineRule="auto"/>
        <w:rPr>
          <w:rFonts w:ascii="Arial" w:hAnsi="Arial" w:cs="Arial"/>
        </w:rPr>
      </w:pPr>
    </w:p>
    <w:p w14:paraId="57E9008D" w14:textId="77777777" w:rsidR="008E4DE3" w:rsidRPr="008E4DE3" w:rsidRDefault="008E4DE3" w:rsidP="008E4DE3">
      <w:pPr>
        <w:spacing w:after="0" w:line="276" w:lineRule="auto"/>
        <w:rPr>
          <w:rFonts w:ascii="Arial" w:hAnsi="Arial" w:cs="Arial"/>
        </w:rPr>
      </w:pPr>
    </w:p>
    <w:p w14:paraId="20C7112B" w14:textId="77777777" w:rsidR="008E4DE3" w:rsidRPr="008E4DE3" w:rsidRDefault="008E4DE3" w:rsidP="008E4DE3">
      <w:pPr>
        <w:spacing w:after="0" w:line="276" w:lineRule="auto"/>
        <w:rPr>
          <w:rFonts w:ascii="Arial" w:hAnsi="Arial" w:cs="Arial"/>
        </w:rPr>
      </w:pPr>
    </w:p>
    <w:p w14:paraId="0FEA6056" w14:textId="77777777" w:rsidR="008E4DE3" w:rsidRPr="008E4DE3" w:rsidRDefault="008E4DE3" w:rsidP="008E4DE3">
      <w:pPr>
        <w:spacing w:after="0" w:line="276" w:lineRule="auto"/>
        <w:rPr>
          <w:rFonts w:ascii="Arial" w:hAnsi="Arial" w:cs="Arial"/>
        </w:rPr>
      </w:pPr>
    </w:p>
    <w:p w14:paraId="2D7E822F" w14:textId="6019CA8E" w:rsidR="008E4DE3" w:rsidRDefault="008E4DE3" w:rsidP="008E4DE3">
      <w:pPr>
        <w:spacing w:after="0" w:line="276" w:lineRule="auto"/>
        <w:rPr>
          <w:rFonts w:ascii="Arial" w:hAnsi="Arial" w:cs="Arial"/>
        </w:rPr>
      </w:pPr>
    </w:p>
    <w:p w14:paraId="587CA1C5" w14:textId="4056E9E5" w:rsidR="00760274" w:rsidRDefault="00760274" w:rsidP="008E4DE3">
      <w:pPr>
        <w:spacing w:after="0" w:line="276" w:lineRule="auto"/>
        <w:rPr>
          <w:rFonts w:ascii="Arial" w:hAnsi="Arial" w:cs="Arial"/>
        </w:rPr>
      </w:pPr>
    </w:p>
    <w:sectPr w:rsidR="00760274" w:rsidSect="002167A0">
      <w:footerReference w:type="default" r:id="rId15"/>
      <w:headerReference w:type="first" r:id="rId16"/>
      <w:footerReference w:type="first" r:id="rId17"/>
      <w:pgSz w:w="11906" w:h="16838"/>
      <w:pgMar w:top="851" w:right="1418" w:bottom="851"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D42FE" w14:textId="77777777" w:rsidR="00A66758" w:rsidRDefault="00A66758">
      <w:pPr>
        <w:spacing w:after="0" w:line="240" w:lineRule="auto"/>
      </w:pPr>
      <w:r>
        <w:separator/>
      </w:r>
    </w:p>
  </w:endnote>
  <w:endnote w:type="continuationSeparator" w:id="0">
    <w:p w14:paraId="7BAB8D26" w14:textId="77777777" w:rsidR="00A66758" w:rsidRDefault="00A66758">
      <w:pPr>
        <w:spacing w:after="0" w:line="240" w:lineRule="auto"/>
      </w:pPr>
      <w:r>
        <w:continuationSeparator/>
      </w:r>
    </w:p>
  </w:endnote>
  <w:endnote w:type="continuationNotice" w:id="1">
    <w:p w14:paraId="2AF49EB7" w14:textId="77777777" w:rsidR="00A66758" w:rsidRDefault="00A667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PJXEE R+ Bliss">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Yu Mincho">
    <w:altName w:val="游明朝"/>
    <w:charset w:val="80"/>
    <w:family w:val="roman"/>
    <w:pitch w:val="variable"/>
    <w:sig w:usb0="800002E7" w:usb1="2AC7FCFF" w:usb2="00000012" w:usb3="00000000" w:csb0="0002009F" w:csb1="00000000"/>
  </w:font>
  <w:font w:name="Gulim">
    <w:altName w:val="Gulim"/>
    <w:panose1 w:val="020B0600000101010101"/>
    <w:charset w:val="81"/>
    <w:family w:val="swiss"/>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EU Albertina">
    <w:altName w:val="Cambria"/>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6756523"/>
      <w:docPartObj>
        <w:docPartGallery w:val="Page Numbers (Bottom of Page)"/>
        <w:docPartUnique/>
      </w:docPartObj>
    </w:sdtPr>
    <w:sdtEndPr>
      <w:rPr>
        <w:sz w:val="20"/>
        <w:szCs w:val="20"/>
      </w:rPr>
    </w:sdtEndPr>
    <w:sdtContent>
      <w:p w14:paraId="34CB553C" w14:textId="77777777" w:rsidR="00DC2419" w:rsidRPr="005071BD" w:rsidRDefault="00DC2419" w:rsidP="00DC2419">
        <w:pPr>
          <w:pStyle w:val="Pieddepage"/>
          <w:tabs>
            <w:tab w:val="clear" w:pos="4536"/>
            <w:tab w:val="clear" w:pos="9072"/>
          </w:tabs>
          <w:ind w:left="-1134" w:right="-995"/>
          <w:rPr>
            <w:rFonts w:eastAsia="Calibri"/>
            <w:sz w:val="20"/>
            <w:szCs w:val="20"/>
          </w:rPr>
        </w:pPr>
        <w:r w:rsidRPr="005071BD">
          <w:rPr>
            <w:rFonts w:eastAsia="Calibri"/>
            <w:sz w:val="20"/>
            <w:szCs w:val="20"/>
          </w:rPr>
          <w:t>Programme régional de l’Île-de-France et du bassin de la Seine FEDER-FSE+ 2021-2027</w:t>
        </w:r>
      </w:p>
      <w:p w14:paraId="7791BD0E" w14:textId="77777777" w:rsidR="00DC2419" w:rsidRDefault="00DC2419" w:rsidP="00DC2419">
        <w:pPr>
          <w:pStyle w:val="Pieddepage"/>
          <w:tabs>
            <w:tab w:val="clear" w:pos="4536"/>
            <w:tab w:val="clear" w:pos="9072"/>
          </w:tabs>
          <w:ind w:left="-1134" w:right="-995"/>
          <w:rPr>
            <w:rFonts w:eastAsia="Calibri"/>
            <w:sz w:val="20"/>
            <w:szCs w:val="20"/>
          </w:rPr>
        </w:pPr>
        <w:r w:rsidRPr="005071BD">
          <w:rPr>
            <w:rFonts w:eastAsia="Calibri"/>
            <w:sz w:val="20"/>
            <w:szCs w:val="20"/>
          </w:rPr>
          <w:t xml:space="preserve">Appel à projets FSE+ 2023 " Lutte contre le décrochage dans l’enseignement supérieur" (OS 4.6-2) </w:t>
        </w:r>
      </w:p>
      <w:p w14:paraId="16DF39E5" w14:textId="7965F701" w:rsidR="00AD6035" w:rsidRPr="0013252B" w:rsidRDefault="00DC2419" w:rsidP="0069082D">
        <w:pPr>
          <w:pStyle w:val="Pieddepage"/>
          <w:tabs>
            <w:tab w:val="clear" w:pos="4536"/>
            <w:tab w:val="clear" w:pos="9072"/>
          </w:tabs>
          <w:ind w:left="-851" w:right="-853" w:hanging="283"/>
          <w:rPr>
            <w:rFonts w:eastAsia="Calibri"/>
            <w:sz w:val="20"/>
            <w:szCs w:val="20"/>
          </w:rPr>
        </w:pPr>
        <w:r w:rsidRPr="005071BD">
          <w:rPr>
            <w:rFonts w:eastAsia="Calibri"/>
            <w:b/>
            <w:bCs/>
            <w:sz w:val="20"/>
            <w:szCs w:val="20"/>
          </w:rPr>
          <w:t>Annexe</w:t>
        </w:r>
        <w:r>
          <w:rPr>
            <w:rFonts w:eastAsia="Calibri"/>
            <w:b/>
            <w:bCs/>
            <w:sz w:val="20"/>
            <w:szCs w:val="20"/>
          </w:rPr>
          <w:t xml:space="preserve"> </w:t>
        </w:r>
        <w:r w:rsidRPr="001E3A2E">
          <w:rPr>
            <w:rFonts w:eastAsia="Calibri"/>
            <w:b/>
            <w:bCs/>
            <w:sz w:val="20"/>
            <w:szCs w:val="20"/>
          </w:rPr>
          <w:t>3</w:t>
        </w:r>
        <w:r>
          <w:rPr>
            <w:rFonts w:eastAsia="Calibri"/>
            <w:b/>
            <w:bCs/>
            <w:sz w:val="20"/>
            <w:szCs w:val="20"/>
          </w:rPr>
          <w:t xml:space="preserve"> </w:t>
        </w:r>
        <w:r w:rsidRPr="00234997">
          <w:rPr>
            <w:rFonts w:eastAsia="Calibri"/>
            <w:sz w:val="20"/>
            <w:szCs w:val="20"/>
          </w:rPr>
          <w:t>(10 juillet 2023)</w:t>
        </w:r>
        <w:r w:rsidR="0069082D">
          <w:rPr>
            <w:rFonts w:eastAsia="Calibri"/>
            <w:sz w:val="20"/>
            <w:szCs w:val="20"/>
          </w:rPr>
          <w:tab/>
        </w:r>
        <w:r w:rsidR="0069082D">
          <w:rPr>
            <w:rFonts w:eastAsia="Calibri"/>
            <w:sz w:val="20"/>
            <w:szCs w:val="20"/>
          </w:rPr>
          <w:tab/>
        </w:r>
        <w:r w:rsidR="0069082D">
          <w:rPr>
            <w:rFonts w:eastAsia="Calibri"/>
            <w:sz w:val="20"/>
            <w:szCs w:val="20"/>
          </w:rPr>
          <w:tab/>
        </w:r>
        <w:r w:rsidR="0069082D">
          <w:rPr>
            <w:rFonts w:eastAsia="Calibri"/>
            <w:sz w:val="20"/>
            <w:szCs w:val="20"/>
          </w:rPr>
          <w:tab/>
        </w:r>
        <w:r w:rsidR="0069082D">
          <w:rPr>
            <w:rFonts w:eastAsia="Calibri"/>
            <w:sz w:val="20"/>
            <w:szCs w:val="20"/>
          </w:rPr>
          <w:tab/>
        </w:r>
        <w:r w:rsidR="0069082D">
          <w:rPr>
            <w:rFonts w:eastAsia="Calibri"/>
            <w:sz w:val="20"/>
            <w:szCs w:val="20"/>
          </w:rPr>
          <w:tab/>
        </w:r>
        <w:r w:rsidR="0069082D">
          <w:rPr>
            <w:rFonts w:eastAsia="Calibri"/>
            <w:sz w:val="20"/>
            <w:szCs w:val="20"/>
          </w:rPr>
          <w:tab/>
        </w:r>
        <w:r w:rsidR="0069082D">
          <w:rPr>
            <w:rFonts w:eastAsia="Calibri"/>
            <w:sz w:val="20"/>
            <w:szCs w:val="20"/>
          </w:rPr>
          <w:tab/>
        </w:r>
        <w:r w:rsidR="0069082D">
          <w:rPr>
            <w:rFonts w:eastAsia="Calibri"/>
            <w:sz w:val="20"/>
            <w:szCs w:val="20"/>
          </w:rPr>
          <w:tab/>
        </w:r>
        <w:r w:rsidR="0069082D">
          <w:rPr>
            <w:rFonts w:eastAsia="Calibri"/>
            <w:sz w:val="20"/>
            <w:szCs w:val="20"/>
          </w:rPr>
          <w:tab/>
        </w:r>
        <w:r w:rsidR="0069082D">
          <w:rPr>
            <w:rFonts w:eastAsia="Calibri"/>
            <w:sz w:val="20"/>
            <w:szCs w:val="20"/>
          </w:rPr>
          <w:tab/>
        </w:r>
        <w:r w:rsidR="0069082D">
          <w:rPr>
            <w:rFonts w:eastAsia="Calibri"/>
            <w:sz w:val="20"/>
            <w:szCs w:val="20"/>
          </w:rPr>
          <w:tab/>
          <w:t xml:space="preserve">         </w:t>
        </w:r>
        <w:r w:rsidR="00AD6035" w:rsidRPr="001E3A2E">
          <w:rPr>
            <w:sz w:val="20"/>
            <w:szCs w:val="20"/>
          </w:rPr>
          <w:fldChar w:fldCharType="begin"/>
        </w:r>
        <w:r w:rsidR="00AD6035" w:rsidRPr="001E3A2E">
          <w:rPr>
            <w:sz w:val="20"/>
            <w:szCs w:val="20"/>
          </w:rPr>
          <w:instrText>PAGE   \* MERGEFORMAT</w:instrText>
        </w:r>
        <w:r w:rsidR="00AD6035" w:rsidRPr="001E3A2E">
          <w:rPr>
            <w:sz w:val="20"/>
            <w:szCs w:val="20"/>
          </w:rPr>
          <w:fldChar w:fldCharType="separate"/>
        </w:r>
        <w:r w:rsidR="00AD6035">
          <w:rPr>
            <w:sz w:val="20"/>
            <w:szCs w:val="20"/>
          </w:rPr>
          <w:t>1</w:t>
        </w:r>
        <w:r w:rsidR="00AD6035" w:rsidRPr="001E3A2E">
          <w:rPr>
            <w:sz w:val="20"/>
            <w:szCs w:val="20"/>
          </w:rPr>
          <w:fldChar w:fldCharType="end"/>
        </w:r>
      </w:p>
    </w:sdtContent>
  </w:sdt>
  <w:p w14:paraId="3BD960DF" w14:textId="77777777" w:rsidR="00AD6035" w:rsidRDefault="00AD603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F5828" w14:textId="77777777" w:rsidR="005071BD" w:rsidRPr="005071BD" w:rsidRDefault="005071BD" w:rsidP="005071BD">
    <w:pPr>
      <w:pStyle w:val="Pieddepage"/>
      <w:tabs>
        <w:tab w:val="clear" w:pos="4536"/>
        <w:tab w:val="clear" w:pos="9072"/>
      </w:tabs>
      <w:ind w:left="-1134" w:right="-995"/>
      <w:rPr>
        <w:rFonts w:eastAsia="Calibri"/>
        <w:sz w:val="20"/>
        <w:szCs w:val="20"/>
      </w:rPr>
    </w:pPr>
    <w:r w:rsidRPr="005071BD">
      <w:rPr>
        <w:rFonts w:eastAsia="Calibri"/>
        <w:sz w:val="20"/>
        <w:szCs w:val="20"/>
      </w:rPr>
      <w:t>Programme régional de l’Île-de-France et du bassin de la Seine FEDER-FSE+ 2021-2027</w:t>
    </w:r>
  </w:p>
  <w:p w14:paraId="02E67392" w14:textId="77777777" w:rsidR="00D73752" w:rsidRDefault="005071BD" w:rsidP="005071BD">
    <w:pPr>
      <w:pStyle w:val="Pieddepage"/>
      <w:tabs>
        <w:tab w:val="clear" w:pos="4536"/>
        <w:tab w:val="clear" w:pos="9072"/>
      </w:tabs>
      <w:ind w:left="-1134" w:right="-995"/>
      <w:rPr>
        <w:rFonts w:eastAsia="Calibri"/>
        <w:sz w:val="20"/>
        <w:szCs w:val="20"/>
      </w:rPr>
    </w:pPr>
    <w:r w:rsidRPr="005071BD">
      <w:rPr>
        <w:rFonts w:eastAsia="Calibri"/>
        <w:sz w:val="20"/>
        <w:szCs w:val="20"/>
      </w:rPr>
      <w:t xml:space="preserve">Appel à projets FSE+ 2023 " Lutte contre le décrochage dans l’enseignement supérieur" (OS 4.6-2) </w:t>
    </w:r>
  </w:p>
  <w:p w14:paraId="3C427F7E" w14:textId="6E03BDD6" w:rsidR="00AD6035" w:rsidRPr="00932EDC" w:rsidRDefault="005071BD" w:rsidP="005071BD">
    <w:pPr>
      <w:pStyle w:val="Pieddepage"/>
      <w:tabs>
        <w:tab w:val="clear" w:pos="4536"/>
        <w:tab w:val="clear" w:pos="9072"/>
      </w:tabs>
      <w:ind w:left="-1134" w:right="-995"/>
      <w:rPr>
        <w:rFonts w:eastAsia="Calibri"/>
        <w:sz w:val="20"/>
        <w:szCs w:val="20"/>
      </w:rPr>
    </w:pPr>
    <w:r w:rsidRPr="005071BD">
      <w:rPr>
        <w:rFonts w:eastAsia="Calibri"/>
        <w:b/>
        <w:bCs/>
        <w:sz w:val="20"/>
        <w:szCs w:val="20"/>
      </w:rPr>
      <w:t>Annexe</w:t>
    </w:r>
    <w:r w:rsidR="00D73752">
      <w:rPr>
        <w:rFonts w:eastAsia="Calibri"/>
        <w:b/>
        <w:bCs/>
        <w:sz w:val="20"/>
        <w:szCs w:val="20"/>
      </w:rPr>
      <w:t xml:space="preserve"> </w:t>
    </w:r>
    <w:r w:rsidR="00AD6035" w:rsidRPr="001E3A2E">
      <w:rPr>
        <w:rFonts w:eastAsia="Calibri"/>
        <w:b/>
        <w:bCs/>
        <w:sz w:val="20"/>
        <w:szCs w:val="20"/>
      </w:rPr>
      <w:t>3</w:t>
    </w:r>
    <w:r w:rsidR="0055314B">
      <w:rPr>
        <w:rFonts w:eastAsia="Calibri"/>
        <w:b/>
        <w:bCs/>
        <w:sz w:val="20"/>
        <w:szCs w:val="20"/>
      </w:rPr>
      <w:t xml:space="preserve"> </w:t>
    </w:r>
    <w:r w:rsidR="00234997" w:rsidRPr="00234997">
      <w:rPr>
        <w:rFonts w:eastAsia="Calibri"/>
        <w:sz w:val="20"/>
        <w:szCs w:val="20"/>
      </w:rPr>
      <w:t>(10 juillet 2023)</w:t>
    </w:r>
    <w:r w:rsidR="00D73752">
      <w:rPr>
        <w:rFonts w:eastAsia="Calibri"/>
        <w:sz w:val="20"/>
        <w:szCs w:val="20"/>
      </w:rPr>
      <w:tab/>
    </w:r>
    <w:r w:rsidR="00D73752">
      <w:rPr>
        <w:rFonts w:eastAsia="Calibri"/>
        <w:sz w:val="20"/>
        <w:szCs w:val="20"/>
      </w:rPr>
      <w:tab/>
    </w:r>
    <w:r w:rsidR="00D73752">
      <w:rPr>
        <w:rFonts w:eastAsia="Calibri"/>
        <w:sz w:val="20"/>
        <w:szCs w:val="20"/>
      </w:rPr>
      <w:tab/>
    </w:r>
    <w:r w:rsidR="00D73752">
      <w:rPr>
        <w:rFonts w:eastAsia="Calibri"/>
        <w:sz w:val="20"/>
        <w:szCs w:val="20"/>
      </w:rPr>
      <w:tab/>
    </w:r>
    <w:r w:rsidR="00D73752">
      <w:rPr>
        <w:rFonts w:eastAsia="Calibri"/>
        <w:sz w:val="20"/>
        <w:szCs w:val="20"/>
      </w:rPr>
      <w:tab/>
    </w:r>
    <w:r w:rsidR="00D73752">
      <w:rPr>
        <w:rFonts w:eastAsia="Calibri"/>
        <w:sz w:val="20"/>
        <w:szCs w:val="20"/>
      </w:rPr>
      <w:tab/>
    </w:r>
    <w:r w:rsidR="00D73752">
      <w:rPr>
        <w:rFonts w:eastAsia="Calibri"/>
        <w:sz w:val="20"/>
        <w:szCs w:val="20"/>
      </w:rPr>
      <w:tab/>
    </w:r>
    <w:r w:rsidR="00D73752">
      <w:rPr>
        <w:rFonts w:eastAsia="Calibri"/>
        <w:sz w:val="20"/>
        <w:szCs w:val="20"/>
      </w:rPr>
      <w:tab/>
    </w:r>
    <w:r w:rsidR="00D73752">
      <w:rPr>
        <w:rFonts w:eastAsia="Calibri"/>
        <w:sz w:val="20"/>
        <w:szCs w:val="20"/>
      </w:rPr>
      <w:tab/>
    </w:r>
    <w:r w:rsidR="00D73752">
      <w:rPr>
        <w:rFonts w:eastAsia="Calibri"/>
        <w:sz w:val="20"/>
        <w:szCs w:val="20"/>
      </w:rPr>
      <w:tab/>
    </w:r>
    <w:r w:rsidR="00D73752">
      <w:rPr>
        <w:rFonts w:eastAsia="Calibri"/>
        <w:sz w:val="20"/>
        <w:szCs w:val="20"/>
      </w:rPr>
      <w:tab/>
    </w:r>
    <w:r w:rsidR="00D73752">
      <w:rPr>
        <w:rFonts w:eastAsia="Calibri"/>
        <w:sz w:val="20"/>
        <w:szCs w:val="20"/>
      </w:rPr>
      <w:tab/>
    </w:r>
    <w:r w:rsidR="00D73752">
      <w:rPr>
        <w:rFonts w:eastAsia="Calibri"/>
        <w:sz w:val="20"/>
        <w:szCs w:val="20"/>
      </w:rPr>
      <w:tab/>
    </w:r>
    <w:r w:rsidR="00AD6035" w:rsidRPr="001E3A2E">
      <w:rPr>
        <w:sz w:val="20"/>
        <w:szCs w:val="20"/>
      </w:rPr>
      <w:fldChar w:fldCharType="begin"/>
    </w:r>
    <w:r w:rsidR="00AD6035" w:rsidRPr="001E3A2E">
      <w:rPr>
        <w:sz w:val="20"/>
        <w:szCs w:val="20"/>
      </w:rPr>
      <w:instrText>PAGE   \* MERGEFORMAT</w:instrText>
    </w:r>
    <w:r w:rsidR="00AD6035" w:rsidRPr="001E3A2E">
      <w:rPr>
        <w:sz w:val="20"/>
        <w:szCs w:val="20"/>
      </w:rPr>
      <w:fldChar w:fldCharType="separate"/>
    </w:r>
    <w:r w:rsidR="00AD6035">
      <w:rPr>
        <w:sz w:val="20"/>
        <w:szCs w:val="20"/>
      </w:rPr>
      <w:t>1</w:t>
    </w:r>
    <w:r w:rsidR="00AD6035" w:rsidRPr="001E3A2E">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884A7" w14:textId="77777777" w:rsidR="00A66758" w:rsidRDefault="00A66758">
      <w:pPr>
        <w:spacing w:after="0" w:line="240" w:lineRule="auto"/>
      </w:pPr>
      <w:r>
        <w:separator/>
      </w:r>
    </w:p>
  </w:footnote>
  <w:footnote w:type="continuationSeparator" w:id="0">
    <w:p w14:paraId="0D095622" w14:textId="77777777" w:rsidR="00A66758" w:rsidRDefault="00A66758">
      <w:pPr>
        <w:spacing w:after="0" w:line="240" w:lineRule="auto"/>
      </w:pPr>
      <w:r>
        <w:continuationSeparator/>
      </w:r>
    </w:p>
  </w:footnote>
  <w:footnote w:type="continuationNotice" w:id="1">
    <w:p w14:paraId="5E2ACC1C" w14:textId="77777777" w:rsidR="00A66758" w:rsidRDefault="00A667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89B2" w14:textId="62C7E29A" w:rsidR="00553E28" w:rsidRPr="00553E28" w:rsidRDefault="00553E28" w:rsidP="00553E28">
    <w:pPr>
      <w:pStyle w:val="En-tte"/>
      <w:tabs>
        <w:tab w:val="clear" w:pos="4536"/>
        <w:tab w:val="clear" w:pos="9072"/>
      </w:tabs>
      <w:jc w:val="center"/>
    </w:pPr>
    <w:r w:rsidRPr="00553E28">
      <w:rPr>
        <w:noProof/>
      </w:rPr>
      <w:drawing>
        <wp:inline distT="0" distB="0" distL="0" distR="0" wp14:anchorId="196E7C4D" wp14:editId="3EA34568">
          <wp:extent cx="2727960" cy="6038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820349" cy="624337"/>
                  </a:xfrm>
                  <a:prstGeom prst="rect">
                    <a:avLst/>
                  </a:prstGeom>
                  <a:ln>
                    <a:noFill/>
                  </a:ln>
                  <a:extLst>
                    <a:ext uri="{53640926-AAD7-44D8-BBD7-CCE9431645EC}">
                      <a14:shadowObscured xmlns:a14="http://schemas.microsoft.com/office/drawing/2010/main"/>
                    </a:ext>
                  </a:extLst>
                </pic:spPr>
              </pic:pic>
            </a:graphicData>
          </a:graphic>
        </wp:inline>
      </w:drawing>
    </w:r>
    <w:r w:rsidRPr="00553E28">
      <w:t xml:space="preserve"> </w:t>
    </w:r>
    <w:r w:rsidRPr="00553E28">
      <w:rPr>
        <w:noProof/>
      </w:rPr>
      <w:drawing>
        <wp:inline distT="0" distB="0" distL="0" distR="0" wp14:anchorId="18AA7070" wp14:editId="5DA8415E">
          <wp:extent cx="1799616" cy="6019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871735" cy="626104"/>
                  </a:xfrm>
                  <a:prstGeom prst="rect">
                    <a:avLst/>
                  </a:prstGeom>
                  <a:noFill/>
                  <a:ln>
                    <a:noFill/>
                  </a:ln>
                  <a:extLst>
                    <a:ext uri="{53640926-AAD7-44D8-BBD7-CCE9431645EC}">
                      <a14:shadowObscured xmlns:a14="http://schemas.microsoft.com/office/drawing/2010/main"/>
                    </a:ext>
                  </a:extLst>
                </pic:spPr>
              </pic:pic>
            </a:graphicData>
          </a:graphic>
        </wp:inline>
      </w:drawing>
    </w:r>
  </w:p>
  <w:p w14:paraId="7B9BA557" w14:textId="02873E52" w:rsidR="004304E0" w:rsidRDefault="004304E0" w:rsidP="006479A2">
    <w:pPr>
      <w:pStyle w:val="En-tte"/>
      <w:tabs>
        <w:tab w:val="clear" w:pos="4536"/>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A7FF0"/>
    <w:multiLevelType w:val="hybridMultilevel"/>
    <w:tmpl w:val="26A01898"/>
    <w:lvl w:ilvl="0" w:tplc="FF842434">
      <w:start w:val="1"/>
      <w:numFmt w:val="lowerLetter"/>
      <w:pStyle w:val="Titre2police1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3511D4"/>
    <w:multiLevelType w:val="hybridMultilevel"/>
    <w:tmpl w:val="8A3EF81E"/>
    <w:lvl w:ilvl="0" w:tplc="9566ECB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5F4359"/>
    <w:multiLevelType w:val="hybridMultilevel"/>
    <w:tmpl w:val="CED8BA3C"/>
    <w:lvl w:ilvl="0" w:tplc="260E3814">
      <w:start w:val="1"/>
      <w:numFmt w:val="lowerRoman"/>
      <w:pStyle w:val="Titre3police10"/>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C146A2"/>
    <w:multiLevelType w:val="hybridMultilevel"/>
    <w:tmpl w:val="E4D2115E"/>
    <w:lvl w:ilvl="0" w:tplc="040C0001">
      <w:start w:val="1"/>
      <w:numFmt w:val="bullet"/>
      <w:lvlText w:val=""/>
      <w:lvlJc w:val="left"/>
      <w:pPr>
        <w:ind w:left="720" w:hanging="360"/>
      </w:pPr>
      <w:rPr>
        <w:rFonts w:ascii="Symbol" w:hAnsi="Symbol" w:hint="default"/>
      </w:rPr>
    </w:lvl>
    <w:lvl w:ilvl="1" w:tplc="B932219A">
      <w:start w:val="1"/>
      <w:numFmt w:val="bullet"/>
      <w:pStyle w:val="Puces1"/>
      <w:lvlText w:val=""/>
      <w:lvlJc w:val="left"/>
      <w:pPr>
        <w:ind w:left="1440" w:hanging="360"/>
      </w:pPr>
      <w:rPr>
        <w:rFonts w:ascii="Symbol" w:hAnsi="Symbol" w:hint="default"/>
        <w:color w:val="BFBFBF" w:themeColor="background1" w:themeShade="BF"/>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577C37"/>
    <w:multiLevelType w:val="hybridMultilevel"/>
    <w:tmpl w:val="E6DC1940"/>
    <w:lvl w:ilvl="0" w:tplc="FBD818A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5805EF"/>
    <w:multiLevelType w:val="hybridMultilevel"/>
    <w:tmpl w:val="5DAAD4EC"/>
    <w:lvl w:ilvl="0" w:tplc="48B002C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A80C2B"/>
    <w:multiLevelType w:val="hybridMultilevel"/>
    <w:tmpl w:val="9956E992"/>
    <w:lvl w:ilvl="0" w:tplc="46300E12">
      <w:start w:val="1"/>
      <w:numFmt w:val="bullet"/>
      <w:pStyle w:val="texteavecbulletpoin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4717016C"/>
    <w:multiLevelType w:val="hybridMultilevel"/>
    <w:tmpl w:val="15DA92A4"/>
    <w:lvl w:ilvl="0" w:tplc="1BC4A2F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C62149D"/>
    <w:multiLevelType w:val="hybridMultilevel"/>
    <w:tmpl w:val="EAF8E738"/>
    <w:lvl w:ilvl="0" w:tplc="0BE0F0CA">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8419B3"/>
    <w:multiLevelType w:val="hybridMultilevel"/>
    <w:tmpl w:val="27FA10DE"/>
    <w:lvl w:ilvl="0" w:tplc="A066DE6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6DC30FA4"/>
    <w:multiLevelType w:val="hybridMultilevel"/>
    <w:tmpl w:val="BCE660B8"/>
    <w:lvl w:ilvl="0" w:tplc="FC060B26">
      <w:start w:val="1"/>
      <w:numFmt w:val="decimal"/>
      <w:pStyle w:val="Titre4police9"/>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79C77D5"/>
    <w:multiLevelType w:val="hybridMultilevel"/>
    <w:tmpl w:val="7B525C84"/>
    <w:lvl w:ilvl="0" w:tplc="BBC8711E">
      <w:start w:val="1"/>
      <w:numFmt w:val="upperRoman"/>
      <w:pStyle w:val="Titre1police12"/>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782D34C6"/>
    <w:multiLevelType w:val="hybridMultilevel"/>
    <w:tmpl w:val="5DDE643E"/>
    <w:lvl w:ilvl="0" w:tplc="A53ED880">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79300B25"/>
    <w:multiLevelType w:val="hybridMultilevel"/>
    <w:tmpl w:val="AE50AF2C"/>
    <w:lvl w:ilvl="0" w:tplc="7EDE7CAA">
      <w:start w:val="1"/>
      <w:numFmt w:val="bullet"/>
      <w:pStyle w:val="FSE-Fichelistedroitetableau"/>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36164888">
    <w:abstractNumId w:val="3"/>
  </w:num>
  <w:num w:numId="2" w16cid:durableId="2050690155">
    <w:abstractNumId w:val="8"/>
  </w:num>
  <w:num w:numId="3" w16cid:durableId="486212757">
    <w:abstractNumId w:val="1"/>
  </w:num>
  <w:num w:numId="4" w16cid:durableId="859706970">
    <w:abstractNumId w:val="9"/>
  </w:num>
  <w:num w:numId="5" w16cid:durableId="754547480">
    <w:abstractNumId w:val="12"/>
  </w:num>
  <w:num w:numId="6" w16cid:durableId="2140495526">
    <w:abstractNumId w:val="5"/>
  </w:num>
  <w:num w:numId="7" w16cid:durableId="1982540635">
    <w:abstractNumId w:val="7"/>
  </w:num>
  <w:num w:numId="8" w16cid:durableId="635181248">
    <w:abstractNumId w:val="4"/>
  </w:num>
  <w:num w:numId="9" w16cid:durableId="669061078">
    <w:abstractNumId w:val="13"/>
  </w:num>
  <w:num w:numId="10" w16cid:durableId="2130584427">
    <w:abstractNumId w:val="6"/>
  </w:num>
  <w:num w:numId="11" w16cid:durableId="655492318">
    <w:abstractNumId w:val="11"/>
  </w:num>
  <w:num w:numId="12" w16cid:durableId="583220391">
    <w:abstractNumId w:val="0"/>
  </w:num>
  <w:num w:numId="13" w16cid:durableId="986322394">
    <w:abstractNumId w:val="2"/>
  </w:num>
  <w:num w:numId="14" w16cid:durableId="1944534923">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DE3"/>
    <w:rsid w:val="00002BE3"/>
    <w:rsid w:val="000166D4"/>
    <w:rsid w:val="00060D0B"/>
    <w:rsid w:val="00067C28"/>
    <w:rsid w:val="00073497"/>
    <w:rsid w:val="000831C9"/>
    <w:rsid w:val="00092170"/>
    <w:rsid w:val="000F0D6E"/>
    <w:rsid w:val="00104ED1"/>
    <w:rsid w:val="001A357A"/>
    <w:rsid w:val="001F4414"/>
    <w:rsid w:val="001F582F"/>
    <w:rsid w:val="002167A0"/>
    <w:rsid w:val="00234997"/>
    <w:rsid w:val="002352E1"/>
    <w:rsid w:val="00270821"/>
    <w:rsid w:val="00273CB3"/>
    <w:rsid w:val="00277452"/>
    <w:rsid w:val="002774F7"/>
    <w:rsid w:val="00282588"/>
    <w:rsid w:val="0028418A"/>
    <w:rsid w:val="00286698"/>
    <w:rsid w:val="00290976"/>
    <w:rsid w:val="002961A8"/>
    <w:rsid w:val="00297374"/>
    <w:rsid w:val="002A09C7"/>
    <w:rsid w:val="002A0A05"/>
    <w:rsid w:val="002A0BD3"/>
    <w:rsid w:val="002B0312"/>
    <w:rsid w:val="002C789B"/>
    <w:rsid w:val="002D6985"/>
    <w:rsid w:val="002E0917"/>
    <w:rsid w:val="002F018C"/>
    <w:rsid w:val="0030205B"/>
    <w:rsid w:val="00337A87"/>
    <w:rsid w:val="00352AA8"/>
    <w:rsid w:val="003575DD"/>
    <w:rsid w:val="00375AA0"/>
    <w:rsid w:val="0039243A"/>
    <w:rsid w:val="00396601"/>
    <w:rsid w:val="003B1CFA"/>
    <w:rsid w:val="003C3917"/>
    <w:rsid w:val="003E25F5"/>
    <w:rsid w:val="00402E7F"/>
    <w:rsid w:val="004079E7"/>
    <w:rsid w:val="004304E0"/>
    <w:rsid w:val="00433AAF"/>
    <w:rsid w:val="0046568B"/>
    <w:rsid w:val="00467EE2"/>
    <w:rsid w:val="0048214D"/>
    <w:rsid w:val="00484C0F"/>
    <w:rsid w:val="004A6D0A"/>
    <w:rsid w:val="004A79B7"/>
    <w:rsid w:val="004B52F3"/>
    <w:rsid w:val="004C7297"/>
    <w:rsid w:val="004C7E9F"/>
    <w:rsid w:val="004D50EF"/>
    <w:rsid w:val="004E45EB"/>
    <w:rsid w:val="005006D2"/>
    <w:rsid w:val="005071BD"/>
    <w:rsid w:val="00514D70"/>
    <w:rsid w:val="00516503"/>
    <w:rsid w:val="005212C2"/>
    <w:rsid w:val="00540A56"/>
    <w:rsid w:val="005417B2"/>
    <w:rsid w:val="005502B7"/>
    <w:rsid w:val="0055314B"/>
    <w:rsid w:val="005536D6"/>
    <w:rsid w:val="00553E28"/>
    <w:rsid w:val="0056128B"/>
    <w:rsid w:val="005642EF"/>
    <w:rsid w:val="00571A1E"/>
    <w:rsid w:val="00585DE2"/>
    <w:rsid w:val="005A3D0F"/>
    <w:rsid w:val="005B01EC"/>
    <w:rsid w:val="00624DAD"/>
    <w:rsid w:val="00630511"/>
    <w:rsid w:val="0063682C"/>
    <w:rsid w:val="00640773"/>
    <w:rsid w:val="006479A2"/>
    <w:rsid w:val="0065067B"/>
    <w:rsid w:val="00655879"/>
    <w:rsid w:val="00666CD5"/>
    <w:rsid w:val="00673495"/>
    <w:rsid w:val="006868F1"/>
    <w:rsid w:val="0069082D"/>
    <w:rsid w:val="006B6BF4"/>
    <w:rsid w:val="006D5622"/>
    <w:rsid w:val="00713994"/>
    <w:rsid w:val="00743936"/>
    <w:rsid w:val="00760274"/>
    <w:rsid w:val="007B085F"/>
    <w:rsid w:val="007C43E5"/>
    <w:rsid w:val="007C5055"/>
    <w:rsid w:val="007F3711"/>
    <w:rsid w:val="00810876"/>
    <w:rsid w:val="00811243"/>
    <w:rsid w:val="008134F0"/>
    <w:rsid w:val="00847DD3"/>
    <w:rsid w:val="00853B5F"/>
    <w:rsid w:val="00855AAA"/>
    <w:rsid w:val="00864C1B"/>
    <w:rsid w:val="00864F11"/>
    <w:rsid w:val="00874166"/>
    <w:rsid w:val="008A2EBF"/>
    <w:rsid w:val="008D5D98"/>
    <w:rsid w:val="008E4DE3"/>
    <w:rsid w:val="00932EDC"/>
    <w:rsid w:val="00937780"/>
    <w:rsid w:val="00943450"/>
    <w:rsid w:val="00966283"/>
    <w:rsid w:val="0098150F"/>
    <w:rsid w:val="009A1DFF"/>
    <w:rsid w:val="009E0F0D"/>
    <w:rsid w:val="00A16DEE"/>
    <w:rsid w:val="00A25B54"/>
    <w:rsid w:val="00A30662"/>
    <w:rsid w:val="00A66758"/>
    <w:rsid w:val="00A96A3D"/>
    <w:rsid w:val="00AC26DA"/>
    <w:rsid w:val="00AC36E4"/>
    <w:rsid w:val="00AC6547"/>
    <w:rsid w:val="00AD6035"/>
    <w:rsid w:val="00AE1026"/>
    <w:rsid w:val="00AF3C9B"/>
    <w:rsid w:val="00B001AB"/>
    <w:rsid w:val="00B414C4"/>
    <w:rsid w:val="00B524EB"/>
    <w:rsid w:val="00B52CA9"/>
    <w:rsid w:val="00B53E5E"/>
    <w:rsid w:val="00B73DCC"/>
    <w:rsid w:val="00B810A1"/>
    <w:rsid w:val="00B82BB3"/>
    <w:rsid w:val="00B82EF2"/>
    <w:rsid w:val="00BA0A99"/>
    <w:rsid w:val="00BA170D"/>
    <w:rsid w:val="00BA384D"/>
    <w:rsid w:val="00BB16DF"/>
    <w:rsid w:val="00BB3CE1"/>
    <w:rsid w:val="00BD697F"/>
    <w:rsid w:val="00BD69D2"/>
    <w:rsid w:val="00BE7A22"/>
    <w:rsid w:val="00C25B3A"/>
    <w:rsid w:val="00C274C5"/>
    <w:rsid w:val="00C32430"/>
    <w:rsid w:val="00C40585"/>
    <w:rsid w:val="00C50004"/>
    <w:rsid w:val="00C57A4A"/>
    <w:rsid w:val="00C82855"/>
    <w:rsid w:val="00CD04D6"/>
    <w:rsid w:val="00CD0DAA"/>
    <w:rsid w:val="00CE3C01"/>
    <w:rsid w:val="00D01878"/>
    <w:rsid w:val="00D0471B"/>
    <w:rsid w:val="00D53D4D"/>
    <w:rsid w:val="00D66902"/>
    <w:rsid w:val="00D71704"/>
    <w:rsid w:val="00D73752"/>
    <w:rsid w:val="00D84A60"/>
    <w:rsid w:val="00D854A2"/>
    <w:rsid w:val="00DC2419"/>
    <w:rsid w:val="00DC3315"/>
    <w:rsid w:val="00DD3C70"/>
    <w:rsid w:val="00DF5F56"/>
    <w:rsid w:val="00E03B22"/>
    <w:rsid w:val="00E10316"/>
    <w:rsid w:val="00E3245A"/>
    <w:rsid w:val="00E43874"/>
    <w:rsid w:val="00E50B4D"/>
    <w:rsid w:val="00E92924"/>
    <w:rsid w:val="00E95E71"/>
    <w:rsid w:val="00EA4AA8"/>
    <w:rsid w:val="00EC273B"/>
    <w:rsid w:val="00ED416C"/>
    <w:rsid w:val="00ED7916"/>
    <w:rsid w:val="00EE40BD"/>
    <w:rsid w:val="00F163E7"/>
    <w:rsid w:val="00F17DBD"/>
    <w:rsid w:val="00F328D8"/>
    <w:rsid w:val="00F418C6"/>
    <w:rsid w:val="00F55163"/>
    <w:rsid w:val="00F872A2"/>
    <w:rsid w:val="00F91E83"/>
    <w:rsid w:val="00FB21BD"/>
    <w:rsid w:val="00FC4328"/>
    <w:rsid w:val="00FC51DC"/>
    <w:rsid w:val="00FD1475"/>
    <w:rsid w:val="00FD41DD"/>
    <w:rsid w:val="064EB664"/>
    <w:rsid w:val="0ABF607C"/>
    <w:rsid w:val="0EF553A3"/>
    <w:rsid w:val="10125248"/>
    <w:rsid w:val="116CBAB9"/>
    <w:rsid w:val="12A6D561"/>
    <w:rsid w:val="1352FE7E"/>
    <w:rsid w:val="144D1A65"/>
    <w:rsid w:val="17B3503C"/>
    <w:rsid w:val="192D154E"/>
    <w:rsid w:val="1D90EC24"/>
    <w:rsid w:val="1DB22833"/>
    <w:rsid w:val="2C43C6DB"/>
    <w:rsid w:val="2CB9A0EA"/>
    <w:rsid w:val="2E3EE347"/>
    <w:rsid w:val="2FFCBA71"/>
    <w:rsid w:val="360632E4"/>
    <w:rsid w:val="36F9F020"/>
    <w:rsid w:val="3895C081"/>
    <w:rsid w:val="39C45D2B"/>
    <w:rsid w:val="3A3190E2"/>
    <w:rsid w:val="3AEF48AB"/>
    <w:rsid w:val="3BB04AC7"/>
    <w:rsid w:val="3CE8A425"/>
    <w:rsid w:val="4098E973"/>
    <w:rsid w:val="4246D09D"/>
    <w:rsid w:val="48A9AEA1"/>
    <w:rsid w:val="48FE6897"/>
    <w:rsid w:val="4A943DAA"/>
    <w:rsid w:val="4E3F3576"/>
    <w:rsid w:val="4E81D4AE"/>
    <w:rsid w:val="4FA94C2A"/>
    <w:rsid w:val="4FCBE552"/>
    <w:rsid w:val="50D74AFA"/>
    <w:rsid w:val="51701535"/>
    <w:rsid w:val="524488AD"/>
    <w:rsid w:val="58439987"/>
    <w:rsid w:val="5B5754D3"/>
    <w:rsid w:val="5CB5CF67"/>
    <w:rsid w:val="5DD949CD"/>
    <w:rsid w:val="64A5504D"/>
    <w:rsid w:val="64C39B3D"/>
    <w:rsid w:val="67CF7A07"/>
    <w:rsid w:val="68D01519"/>
    <w:rsid w:val="6A608BBF"/>
    <w:rsid w:val="6C07B5DB"/>
    <w:rsid w:val="74B666AC"/>
    <w:rsid w:val="75068AB3"/>
    <w:rsid w:val="773D9063"/>
    <w:rsid w:val="798991C4"/>
    <w:rsid w:val="7CBF3CC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7AFA0A"/>
  <w15:chartTrackingRefBased/>
  <w15:docId w15:val="{31F1DB66-0B19-4930-AA28-79BF7FBCE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E4DE3"/>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8E4DE3"/>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8E4DE3"/>
    <w:pPr>
      <w:keepNext/>
      <w:keepLines/>
      <w:spacing w:before="40" w:after="0" w:line="240" w:lineRule="auto"/>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unhideWhenUsed/>
    <w:qFormat/>
    <w:rsid w:val="008E4DE3"/>
    <w:pPr>
      <w:keepNext/>
      <w:keepLines/>
      <w:spacing w:before="40" w:after="0" w:line="240" w:lineRule="auto"/>
      <w:outlineLvl w:val="3"/>
    </w:pPr>
    <w:rPr>
      <w:rFonts w:asciiTheme="majorHAnsi" w:eastAsiaTheme="majorEastAsia" w:hAnsiTheme="majorHAnsi" w:cstheme="majorBidi"/>
      <w:i/>
      <w:iCs/>
      <w:color w:val="2F5496" w:themeColor="accent1" w:themeShade="BF"/>
      <w:sz w:val="24"/>
      <w:szCs w:val="24"/>
    </w:rPr>
  </w:style>
  <w:style w:type="paragraph" w:styleId="Titre5">
    <w:name w:val="heading 5"/>
    <w:basedOn w:val="Normal"/>
    <w:next w:val="Normal"/>
    <w:link w:val="Titre5Car"/>
    <w:uiPriority w:val="9"/>
    <w:unhideWhenUsed/>
    <w:qFormat/>
    <w:rsid w:val="008E4DE3"/>
    <w:pPr>
      <w:keepNext/>
      <w:keepLines/>
      <w:spacing w:before="40" w:after="0" w:line="240" w:lineRule="auto"/>
      <w:outlineLvl w:val="4"/>
    </w:pPr>
    <w:rPr>
      <w:rFonts w:asciiTheme="majorHAnsi" w:eastAsiaTheme="majorEastAsia" w:hAnsiTheme="majorHAnsi" w:cstheme="majorBidi"/>
      <w:color w:val="2F5496" w:themeColor="accent1" w:themeShade="BF"/>
      <w:sz w:val="24"/>
      <w:szCs w:val="24"/>
    </w:rPr>
  </w:style>
  <w:style w:type="paragraph" w:styleId="Titre6">
    <w:name w:val="heading 6"/>
    <w:basedOn w:val="Normal"/>
    <w:next w:val="Normal"/>
    <w:link w:val="Titre6Car"/>
    <w:uiPriority w:val="9"/>
    <w:semiHidden/>
    <w:unhideWhenUsed/>
    <w:qFormat/>
    <w:rsid w:val="008E4DE3"/>
    <w:pPr>
      <w:keepNext/>
      <w:keepLines/>
      <w:spacing w:before="40" w:after="0" w:line="240" w:lineRule="auto"/>
      <w:outlineLvl w:val="5"/>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DE3"/>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8E4DE3"/>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8E4DE3"/>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rsid w:val="008E4DE3"/>
    <w:rPr>
      <w:rFonts w:asciiTheme="majorHAnsi" w:eastAsiaTheme="majorEastAsia" w:hAnsiTheme="majorHAnsi" w:cstheme="majorBidi"/>
      <w:i/>
      <w:iCs/>
      <w:color w:val="2F5496" w:themeColor="accent1" w:themeShade="BF"/>
      <w:sz w:val="24"/>
      <w:szCs w:val="24"/>
    </w:rPr>
  </w:style>
  <w:style w:type="character" w:customStyle="1" w:styleId="Titre5Car">
    <w:name w:val="Titre 5 Car"/>
    <w:basedOn w:val="Policepardfaut"/>
    <w:link w:val="Titre5"/>
    <w:uiPriority w:val="9"/>
    <w:rsid w:val="008E4DE3"/>
    <w:rPr>
      <w:rFonts w:asciiTheme="majorHAnsi" w:eastAsiaTheme="majorEastAsia" w:hAnsiTheme="majorHAnsi" w:cstheme="majorBidi"/>
      <w:color w:val="2F5496" w:themeColor="accent1" w:themeShade="BF"/>
      <w:sz w:val="24"/>
      <w:szCs w:val="24"/>
    </w:rPr>
  </w:style>
  <w:style w:type="character" w:customStyle="1" w:styleId="Titre6Car">
    <w:name w:val="Titre 6 Car"/>
    <w:basedOn w:val="Policepardfaut"/>
    <w:link w:val="Titre6"/>
    <w:uiPriority w:val="9"/>
    <w:semiHidden/>
    <w:rsid w:val="008E4DE3"/>
    <w:rPr>
      <w:rFonts w:asciiTheme="majorHAnsi" w:eastAsiaTheme="majorEastAsia" w:hAnsiTheme="majorHAnsi" w:cstheme="majorBidi"/>
      <w:color w:val="1F3763" w:themeColor="accent1" w:themeShade="7F"/>
      <w:sz w:val="24"/>
      <w:szCs w:val="24"/>
    </w:rPr>
  </w:style>
  <w:style w:type="numbering" w:customStyle="1" w:styleId="Aucuneliste1">
    <w:name w:val="Aucune liste1"/>
    <w:next w:val="Aucuneliste"/>
    <w:uiPriority w:val="99"/>
    <w:semiHidden/>
    <w:unhideWhenUsed/>
    <w:rsid w:val="008E4DE3"/>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L"/>
    <w:basedOn w:val="Normal"/>
    <w:link w:val="ParagraphedelisteCar"/>
    <w:uiPriority w:val="34"/>
    <w:qFormat/>
    <w:rsid w:val="008E4DE3"/>
    <w:pPr>
      <w:spacing w:after="0" w:line="240" w:lineRule="auto"/>
      <w:ind w:left="720"/>
      <w:contextualSpacing/>
    </w:pPr>
    <w:rPr>
      <w:rFonts w:ascii="Arial" w:hAnsi="Arial" w:cs="Arial"/>
      <w:sz w:val="24"/>
      <w:szCs w:val="24"/>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L Car"/>
    <w:link w:val="Paragraphedeliste"/>
    <w:uiPriority w:val="34"/>
    <w:qFormat/>
    <w:locked/>
    <w:rsid w:val="008E4DE3"/>
    <w:rPr>
      <w:rFonts w:ascii="Arial" w:hAnsi="Arial" w:cs="Arial"/>
      <w:sz w:val="24"/>
      <w:szCs w:val="24"/>
    </w:rPr>
  </w:style>
  <w:style w:type="character" w:styleId="Marquedecommentaire">
    <w:name w:val="annotation reference"/>
    <w:basedOn w:val="Policepardfaut"/>
    <w:uiPriority w:val="99"/>
    <w:semiHidden/>
    <w:unhideWhenUsed/>
    <w:rsid w:val="008E4DE3"/>
    <w:rPr>
      <w:sz w:val="16"/>
      <w:szCs w:val="16"/>
    </w:rPr>
  </w:style>
  <w:style w:type="paragraph" w:styleId="Commentaire">
    <w:name w:val="annotation text"/>
    <w:basedOn w:val="Normal"/>
    <w:link w:val="CommentaireCar"/>
    <w:uiPriority w:val="99"/>
    <w:unhideWhenUsed/>
    <w:rsid w:val="008E4DE3"/>
    <w:pPr>
      <w:spacing w:after="0" w:line="240" w:lineRule="auto"/>
    </w:pPr>
    <w:rPr>
      <w:rFonts w:ascii="Arial" w:hAnsi="Arial" w:cs="Arial"/>
      <w:sz w:val="20"/>
      <w:szCs w:val="20"/>
    </w:rPr>
  </w:style>
  <w:style w:type="character" w:customStyle="1" w:styleId="CommentaireCar">
    <w:name w:val="Commentaire Car"/>
    <w:basedOn w:val="Policepardfaut"/>
    <w:link w:val="Commentaire"/>
    <w:uiPriority w:val="99"/>
    <w:rsid w:val="008E4DE3"/>
    <w:rPr>
      <w:rFonts w:ascii="Arial" w:hAnsi="Arial" w:cs="Arial"/>
      <w:sz w:val="20"/>
      <w:szCs w:val="20"/>
    </w:rPr>
  </w:style>
  <w:style w:type="paragraph" w:styleId="Objetducommentaire">
    <w:name w:val="annotation subject"/>
    <w:basedOn w:val="Commentaire"/>
    <w:next w:val="Commentaire"/>
    <w:link w:val="ObjetducommentaireCar"/>
    <w:uiPriority w:val="99"/>
    <w:semiHidden/>
    <w:unhideWhenUsed/>
    <w:rsid w:val="008E4DE3"/>
    <w:rPr>
      <w:b/>
      <w:bCs/>
    </w:rPr>
  </w:style>
  <w:style w:type="character" w:customStyle="1" w:styleId="ObjetducommentaireCar">
    <w:name w:val="Objet du commentaire Car"/>
    <w:basedOn w:val="CommentaireCar"/>
    <w:link w:val="Objetducommentaire"/>
    <w:uiPriority w:val="99"/>
    <w:semiHidden/>
    <w:rsid w:val="008E4DE3"/>
    <w:rPr>
      <w:rFonts w:ascii="Arial" w:hAnsi="Arial" w:cs="Arial"/>
      <w:b/>
      <w:bCs/>
      <w:sz w:val="20"/>
      <w:szCs w:val="20"/>
    </w:rPr>
  </w:style>
  <w:style w:type="paragraph" w:styleId="Textedebulles">
    <w:name w:val="Balloon Text"/>
    <w:basedOn w:val="Normal"/>
    <w:link w:val="TextedebullesCar"/>
    <w:uiPriority w:val="99"/>
    <w:semiHidden/>
    <w:unhideWhenUsed/>
    <w:rsid w:val="008E4DE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4DE3"/>
    <w:rPr>
      <w:rFonts w:ascii="Tahoma" w:hAnsi="Tahoma" w:cs="Tahoma"/>
      <w:sz w:val="16"/>
      <w:szCs w:val="16"/>
    </w:rPr>
  </w:style>
  <w:style w:type="character" w:styleId="Lienhypertexte">
    <w:name w:val="Hyperlink"/>
    <w:basedOn w:val="Policepardfaut"/>
    <w:uiPriority w:val="99"/>
    <w:unhideWhenUsed/>
    <w:rsid w:val="008E4DE3"/>
    <w:rPr>
      <w:color w:val="0563C1" w:themeColor="hyperlink"/>
      <w:u w:val="single"/>
    </w:rPr>
  </w:style>
  <w:style w:type="paragraph" w:customStyle="1" w:styleId="FSE-Modedemploi">
    <w:name w:val="FSE- Mode d'emploi"/>
    <w:basedOn w:val="Normal"/>
    <w:qFormat/>
    <w:rsid w:val="008E4DE3"/>
    <w:pPr>
      <w:pBdr>
        <w:top w:val="single" w:sz="18" w:space="6" w:color="1F497D"/>
        <w:left w:val="single" w:sz="18" w:space="6" w:color="1F497D"/>
        <w:bottom w:val="single" w:sz="18" w:space="6" w:color="1F497D"/>
        <w:right w:val="single" w:sz="18" w:space="6" w:color="1F497D"/>
      </w:pBdr>
      <w:shd w:val="clear" w:color="auto" w:fill="C6D9F1"/>
      <w:spacing w:before="60" w:after="60" w:line="200" w:lineRule="exact"/>
      <w:jc w:val="both"/>
    </w:pPr>
    <w:rPr>
      <w:rFonts w:ascii="Franklin Gothic Book" w:eastAsia="Calibri" w:hAnsi="Franklin Gothic Book" w:cs="Times New Roman"/>
      <w:sz w:val="20"/>
    </w:rPr>
  </w:style>
  <w:style w:type="paragraph" w:styleId="Notedebasdepage">
    <w:name w:val="footnote text"/>
    <w:basedOn w:val="Normal"/>
    <w:link w:val="NotedebasdepageCar"/>
    <w:uiPriority w:val="99"/>
    <w:semiHidden/>
    <w:unhideWhenUsed/>
    <w:rsid w:val="008E4DE3"/>
    <w:pPr>
      <w:spacing w:after="200" w:line="276"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semiHidden/>
    <w:rsid w:val="008E4DE3"/>
    <w:rPr>
      <w:rFonts w:ascii="Calibri" w:eastAsia="Calibri" w:hAnsi="Calibri" w:cs="Times New Roman"/>
      <w:sz w:val="20"/>
      <w:szCs w:val="20"/>
    </w:rPr>
  </w:style>
  <w:style w:type="character" w:styleId="Appelnotedebasdep">
    <w:name w:val="footnote reference"/>
    <w:uiPriority w:val="99"/>
    <w:unhideWhenUsed/>
    <w:rsid w:val="008E4DE3"/>
    <w:rPr>
      <w:vertAlign w:val="superscript"/>
    </w:rPr>
  </w:style>
  <w:style w:type="character" w:customStyle="1" w:styleId="A6">
    <w:name w:val="A6"/>
    <w:uiPriority w:val="99"/>
    <w:rsid w:val="008E4DE3"/>
    <w:rPr>
      <w:rFonts w:cs="PJXEE R+ Bliss"/>
      <w:color w:val="000000"/>
    </w:rPr>
  </w:style>
  <w:style w:type="character" w:styleId="Mentionnonrsolue">
    <w:name w:val="Unresolved Mention"/>
    <w:basedOn w:val="Policepardfaut"/>
    <w:uiPriority w:val="99"/>
    <w:unhideWhenUsed/>
    <w:rsid w:val="008E4DE3"/>
    <w:rPr>
      <w:color w:val="605E5C"/>
      <w:shd w:val="clear" w:color="auto" w:fill="E1DFDD"/>
    </w:rPr>
  </w:style>
  <w:style w:type="paragraph" w:customStyle="1" w:styleId="paragraph">
    <w:name w:val="paragraph"/>
    <w:basedOn w:val="Normal"/>
    <w:rsid w:val="008E4DE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8E4DE3"/>
  </w:style>
  <w:style w:type="character" w:customStyle="1" w:styleId="eop">
    <w:name w:val="eop"/>
    <w:basedOn w:val="Policepardfaut"/>
    <w:rsid w:val="008E4DE3"/>
  </w:style>
  <w:style w:type="paragraph" w:customStyle="1" w:styleId="Default">
    <w:name w:val="Default"/>
    <w:rsid w:val="008E4DE3"/>
    <w:pPr>
      <w:autoSpaceDE w:val="0"/>
      <w:autoSpaceDN w:val="0"/>
      <w:adjustRightInd w:val="0"/>
      <w:spacing w:after="0" w:line="240" w:lineRule="auto"/>
    </w:pPr>
    <w:rPr>
      <w:rFonts w:ascii="Franklin Gothic Book" w:hAnsi="Franklin Gothic Book" w:cs="Franklin Gothic Book"/>
      <w:color w:val="000000"/>
      <w:sz w:val="24"/>
      <w:szCs w:val="24"/>
    </w:rPr>
  </w:style>
  <w:style w:type="paragraph" w:customStyle="1" w:styleId="Puces1">
    <w:name w:val="Puces1"/>
    <w:basedOn w:val="Paragraphedeliste"/>
    <w:qFormat/>
    <w:rsid w:val="008E4DE3"/>
    <w:pPr>
      <w:numPr>
        <w:ilvl w:val="1"/>
        <w:numId w:val="1"/>
      </w:numPr>
      <w:spacing w:before="60" w:after="60" w:line="300" w:lineRule="auto"/>
      <w:ind w:left="851"/>
      <w:contextualSpacing w:val="0"/>
      <w:jc w:val="both"/>
    </w:pPr>
    <w:rPr>
      <w:rFonts w:ascii="Calibri Light" w:eastAsia="MS Mincho" w:hAnsi="Calibri Light" w:cs="Times New Roman"/>
      <w:sz w:val="21"/>
      <w:szCs w:val="21"/>
      <w:lang w:eastAsia="fr-FR"/>
    </w:rPr>
  </w:style>
  <w:style w:type="table" w:styleId="Grilledutableau">
    <w:name w:val="Table Grid"/>
    <w:basedOn w:val="TableauNormal"/>
    <w:uiPriority w:val="39"/>
    <w:rsid w:val="008E4DE3"/>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E4DE3"/>
    <w:pPr>
      <w:tabs>
        <w:tab w:val="center" w:pos="4536"/>
        <w:tab w:val="right" w:pos="9072"/>
      </w:tabs>
      <w:spacing w:after="0" w:line="240" w:lineRule="auto"/>
    </w:pPr>
    <w:rPr>
      <w:rFonts w:ascii="Arial" w:hAnsi="Arial" w:cs="Arial"/>
      <w:sz w:val="24"/>
      <w:szCs w:val="24"/>
    </w:rPr>
  </w:style>
  <w:style w:type="character" w:customStyle="1" w:styleId="En-tteCar">
    <w:name w:val="En-tête Car"/>
    <w:basedOn w:val="Policepardfaut"/>
    <w:link w:val="En-tte"/>
    <w:uiPriority w:val="99"/>
    <w:rsid w:val="008E4DE3"/>
    <w:rPr>
      <w:rFonts w:ascii="Arial" w:hAnsi="Arial" w:cs="Arial"/>
      <w:sz w:val="24"/>
      <w:szCs w:val="24"/>
    </w:rPr>
  </w:style>
  <w:style w:type="paragraph" w:styleId="Pieddepage">
    <w:name w:val="footer"/>
    <w:basedOn w:val="Normal"/>
    <w:link w:val="PieddepageCar"/>
    <w:uiPriority w:val="99"/>
    <w:unhideWhenUsed/>
    <w:rsid w:val="008E4DE3"/>
    <w:pPr>
      <w:tabs>
        <w:tab w:val="center" w:pos="4536"/>
        <w:tab w:val="right" w:pos="9072"/>
      </w:tabs>
      <w:spacing w:after="0" w:line="240" w:lineRule="auto"/>
    </w:pPr>
    <w:rPr>
      <w:rFonts w:ascii="Arial" w:hAnsi="Arial" w:cs="Arial"/>
      <w:sz w:val="24"/>
      <w:szCs w:val="24"/>
    </w:rPr>
  </w:style>
  <w:style w:type="character" w:customStyle="1" w:styleId="PieddepageCar">
    <w:name w:val="Pied de page Car"/>
    <w:basedOn w:val="Policepardfaut"/>
    <w:link w:val="Pieddepage"/>
    <w:uiPriority w:val="99"/>
    <w:rsid w:val="008E4DE3"/>
    <w:rPr>
      <w:rFonts w:ascii="Arial" w:hAnsi="Arial" w:cs="Arial"/>
      <w:sz w:val="24"/>
      <w:szCs w:val="24"/>
    </w:rPr>
  </w:style>
  <w:style w:type="paragraph" w:styleId="Rvision">
    <w:name w:val="Revision"/>
    <w:hidden/>
    <w:uiPriority w:val="99"/>
    <w:semiHidden/>
    <w:rsid w:val="008E4DE3"/>
    <w:pPr>
      <w:spacing w:after="0" w:line="240" w:lineRule="auto"/>
    </w:pPr>
    <w:rPr>
      <w:rFonts w:ascii="Arial" w:hAnsi="Arial" w:cs="Arial"/>
      <w:sz w:val="24"/>
      <w:szCs w:val="24"/>
    </w:rPr>
  </w:style>
  <w:style w:type="paragraph" w:styleId="Notedefin">
    <w:name w:val="endnote text"/>
    <w:basedOn w:val="Normal"/>
    <w:link w:val="NotedefinCar"/>
    <w:uiPriority w:val="99"/>
    <w:semiHidden/>
    <w:unhideWhenUsed/>
    <w:rsid w:val="008E4DE3"/>
    <w:pPr>
      <w:spacing w:after="0" w:line="240" w:lineRule="auto"/>
    </w:pPr>
    <w:rPr>
      <w:rFonts w:ascii="Arial" w:hAnsi="Arial" w:cs="Arial"/>
      <w:sz w:val="20"/>
      <w:szCs w:val="20"/>
    </w:rPr>
  </w:style>
  <w:style w:type="character" w:customStyle="1" w:styleId="NotedefinCar">
    <w:name w:val="Note de fin Car"/>
    <w:basedOn w:val="Policepardfaut"/>
    <w:link w:val="Notedefin"/>
    <w:uiPriority w:val="99"/>
    <w:semiHidden/>
    <w:rsid w:val="008E4DE3"/>
    <w:rPr>
      <w:rFonts w:ascii="Arial" w:hAnsi="Arial" w:cs="Arial"/>
      <w:sz w:val="20"/>
      <w:szCs w:val="20"/>
    </w:rPr>
  </w:style>
  <w:style w:type="character" w:styleId="Appeldenotedefin">
    <w:name w:val="endnote reference"/>
    <w:basedOn w:val="Policepardfaut"/>
    <w:uiPriority w:val="99"/>
    <w:semiHidden/>
    <w:unhideWhenUsed/>
    <w:rsid w:val="008E4DE3"/>
    <w:rPr>
      <w:vertAlign w:val="superscript"/>
    </w:rPr>
  </w:style>
  <w:style w:type="paragraph" w:styleId="NormalWeb">
    <w:name w:val="Normal (Web)"/>
    <w:basedOn w:val="Normal"/>
    <w:uiPriority w:val="99"/>
    <w:unhideWhenUsed/>
    <w:rsid w:val="008E4DE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E4DE3"/>
    <w:rPr>
      <w:b/>
      <w:bCs/>
    </w:rPr>
  </w:style>
  <w:style w:type="character" w:styleId="Lienhypertextesuivivisit">
    <w:name w:val="FollowedHyperlink"/>
    <w:basedOn w:val="Policepardfaut"/>
    <w:uiPriority w:val="99"/>
    <w:semiHidden/>
    <w:unhideWhenUsed/>
    <w:rsid w:val="008E4DE3"/>
    <w:rPr>
      <w:color w:val="954F72" w:themeColor="followedHyperlink"/>
      <w:u w:val="single"/>
    </w:rPr>
  </w:style>
  <w:style w:type="paragraph" w:styleId="En-ttedetabledesmatires">
    <w:name w:val="TOC Heading"/>
    <w:basedOn w:val="Titre1"/>
    <w:next w:val="Normal"/>
    <w:uiPriority w:val="39"/>
    <w:unhideWhenUsed/>
    <w:qFormat/>
    <w:rsid w:val="008E4DE3"/>
    <w:pPr>
      <w:spacing w:line="259" w:lineRule="auto"/>
      <w:outlineLvl w:val="9"/>
    </w:pPr>
    <w:rPr>
      <w:lang w:eastAsia="fr-FR"/>
    </w:rPr>
  </w:style>
  <w:style w:type="paragraph" w:styleId="TM1">
    <w:name w:val="toc 1"/>
    <w:basedOn w:val="Normal"/>
    <w:next w:val="Normal"/>
    <w:autoRedefine/>
    <w:uiPriority w:val="39"/>
    <w:unhideWhenUsed/>
    <w:rsid w:val="008E4DE3"/>
    <w:pPr>
      <w:tabs>
        <w:tab w:val="right" w:leader="dot" w:pos="9062"/>
      </w:tabs>
      <w:spacing w:after="100" w:line="240" w:lineRule="auto"/>
    </w:pPr>
    <w:rPr>
      <w:rFonts w:ascii="Arial Black" w:hAnsi="Arial Black" w:cs="Arial"/>
      <w:noProof/>
      <w:sz w:val="24"/>
      <w:szCs w:val="24"/>
    </w:rPr>
  </w:style>
  <w:style w:type="paragraph" w:styleId="TM2">
    <w:name w:val="toc 2"/>
    <w:basedOn w:val="Normal"/>
    <w:next w:val="Normal"/>
    <w:autoRedefine/>
    <w:uiPriority w:val="39"/>
    <w:unhideWhenUsed/>
    <w:rsid w:val="008E4DE3"/>
    <w:pPr>
      <w:spacing w:after="100" w:line="240" w:lineRule="auto"/>
      <w:ind w:left="240"/>
    </w:pPr>
    <w:rPr>
      <w:rFonts w:ascii="Arial" w:hAnsi="Arial" w:cs="Arial"/>
      <w:sz w:val="24"/>
      <w:szCs w:val="24"/>
    </w:rPr>
  </w:style>
  <w:style w:type="paragraph" w:styleId="TM3">
    <w:name w:val="toc 3"/>
    <w:basedOn w:val="Normal"/>
    <w:next w:val="Normal"/>
    <w:autoRedefine/>
    <w:uiPriority w:val="39"/>
    <w:unhideWhenUsed/>
    <w:rsid w:val="008E4DE3"/>
    <w:pPr>
      <w:spacing w:after="100" w:line="240" w:lineRule="auto"/>
      <w:ind w:left="480"/>
    </w:pPr>
    <w:rPr>
      <w:rFonts w:ascii="Arial" w:hAnsi="Arial" w:cs="Arial"/>
      <w:sz w:val="24"/>
      <w:szCs w:val="24"/>
    </w:rPr>
  </w:style>
  <w:style w:type="paragraph" w:styleId="TM4">
    <w:name w:val="toc 4"/>
    <w:basedOn w:val="Normal"/>
    <w:next w:val="Normal"/>
    <w:autoRedefine/>
    <w:uiPriority w:val="39"/>
    <w:unhideWhenUsed/>
    <w:rsid w:val="008E4DE3"/>
    <w:pPr>
      <w:tabs>
        <w:tab w:val="left" w:pos="1100"/>
        <w:tab w:val="right" w:leader="dot" w:pos="9062"/>
      </w:tabs>
      <w:spacing w:after="100" w:line="240" w:lineRule="auto"/>
      <w:ind w:left="720"/>
    </w:pPr>
    <w:rPr>
      <w:rFonts w:ascii="Arial" w:eastAsia="Calibri" w:hAnsi="Arial" w:cs="Arial"/>
      <w:bCs/>
      <w:noProof/>
    </w:rPr>
  </w:style>
  <w:style w:type="paragraph" w:styleId="TM5">
    <w:name w:val="toc 5"/>
    <w:basedOn w:val="Normal"/>
    <w:next w:val="Normal"/>
    <w:autoRedefine/>
    <w:uiPriority w:val="39"/>
    <w:unhideWhenUsed/>
    <w:rsid w:val="008E4DE3"/>
    <w:pPr>
      <w:tabs>
        <w:tab w:val="left" w:pos="1320"/>
        <w:tab w:val="right" w:leader="dot" w:pos="9062"/>
      </w:tabs>
      <w:spacing w:after="100" w:line="240" w:lineRule="auto"/>
      <w:ind w:left="960"/>
    </w:pPr>
    <w:rPr>
      <w:rFonts w:ascii="Arial" w:hAnsi="Arial" w:cs="Arial"/>
      <w:bCs/>
      <w:i/>
      <w:iCs/>
      <w:noProof/>
      <w:sz w:val="20"/>
      <w:szCs w:val="20"/>
    </w:rPr>
  </w:style>
  <w:style w:type="paragraph" w:styleId="TM6">
    <w:name w:val="toc 6"/>
    <w:basedOn w:val="Normal"/>
    <w:next w:val="Normal"/>
    <w:autoRedefine/>
    <w:uiPriority w:val="39"/>
    <w:unhideWhenUsed/>
    <w:rsid w:val="008E4DE3"/>
    <w:pPr>
      <w:spacing w:after="100"/>
      <w:ind w:left="1100"/>
    </w:pPr>
    <w:rPr>
      <w:rFonts w:eastAsiaTheme="minorEastAsia"/>
      <w:lang w:eastAsia="fr-FR"/>
    </w:rPr>
  </w:style>
  <w:style w:type="paragraph" w:styleId="TM7">
    <w:name w:val="toc 7"/>
    <w:basedOn w:val="Normal"/>
    <w:next w:val="Normal"/>
    <w:autoRedefine/>
    <w:uiPriority w:val="39"/>
    <w:unhideWhenUsed/>
    <w:rsid w:val="008E4DE3"/>
    <w:pPr>
      <w:spacing w:after="100"/>
      <w:ind w:left="1320"/>
    </w:pPr>
    <w:rPr>
      <w:rFonts w:eastAsiaTheme="minorEastAsia"/>
      <w:lang w:eastAsia="fr-FR"/>
    </w:rPr>
  </w:style>
  <w:style w:type="paragraph" w:styleId="TM8">
    <w:name w:val="toc 8"/>
    <w:basedOn w:val="Normal"/>
    <w:next w:val="Normal"/>
    <w:autoRedefine/>
    <w:uiPriority w:val="39"/>
    <w:unhideWhenUsed/>
    <w:rsid w:val="008E4DE3"/>
    <w:pPr>
      <w:spacing w:after="100"/>
      <w:ind w:left="1540"/>
    </w:pPr>
    <w:rPr>
      <w:rFonts w:eastAsiaTheme="minorEastAsia"/>
      <w:lang w:eastAsia="fr-FR"/>
    </w:rPr>
  </w:style>
  <w:style w:type="paragraph" w:styleId="TM9">
    <w:name w:val="toc 9"/>
    <w:basedOn w:val="Normal"/>
    <w:next w:val="Normal"/>
    <w:autoRedefine/>
    <w:uiPriority w:val="39"/>
    <w:unhideWhenUsed/>
    <w:rsid w:val="008E4DE3"/>
    <w:pPr>
      <w:spacing w:after="100"/>
      <w:ind w:left="1760"/>
    </w:pPr>
    <w:rPr>
      <w:rFonts w:eastAsiaTheme="minorEastAsia"/>
      <w:lang w:eastAsia="fr-FR"/>
    </w:rPr>
  </w:style>
  <w:style w:type="paragraph" w:styleId="Sansinterligne">
    <w:name w:val="No Spacing"/>
    <w:uiPriority w:val="1"/>
    <w:qFormat/>
    <w:rsid w:val="008E4DE3"/>
    <w:pPr>
      <w:spacing w:after="0" w:line="240" w:lineRule="auto"/>
    </w:pPr>
    <w:rPr>
      <w:rFonts w:ascii="Arial" w:hAnsi="Arial" w:cs="Arial"/>
      <w:sz w:val="24"/>
      <w:szCs w:val="24"/>
    </w:rPr>
  </w:style>
  <w:style w:type="table" w:styleId="Listeclaire-Accent3">
    <w:name w:val="Light List Accent 3"/>
    <w:basedOn w:val="TableauNormal"/>
    <w:uiPriority w:val="61"/>
    <w:rsid w:val="008E4DE3"/>
    <w:pPr>
      <w:spacing w:after="0" w:line="240" w:lineRule="auto"/>
    </w:pPr>
    <w:rPr>
      <w:rFonts w:eastAsiaTheme="minorEastAsia"/>
      <w:lang w:eastAsia="fr-FR"/>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paragraph" w:customStyle="1" w:styleId="FSE-En-tte">
    <w:name w:val="FSE-En-tête"/>
    <w:basedOn w:val="En-tte"/>
    <w:autoRedefine/>
    <w:qFormat/>
    <w:rsid w:val="008E4DE3"/>
    <w:pPr>
      <w:pBdr>
        <w:bottom w:val="single" w:sz="8" w:space="4" w:color="595959"/>
      </w:pBdr>
      <w:spacing w:after="120"/>
      <w:jc w:val="both"/>
    </w:pPr>
    <w:rPr>
      <w:rFonts w:ascii="Gulim" w:eastAsia="Calibri" w:hAnsi="Gulim" w:cs="Times New Roman"/>
      <w:color w:val="943634"/>
      <w:sz w:val="20"/>
      <w:szCs w:val="22"/>
    </w:rPr>
  </w:style>
  <w:style w:type="paragraph" w:customStyle="1" w:styleId="FSE-Sous-titresniv2Fiches">
    <w:name w:val="FSE-Sous-titres niv2 Fiches"/>
    <w:basedOn w:val="Paragraphedeliste"/>
    <w:qFormat/>
    <w:rsid w:val="008E4DE3"/>
    <w:pPr>
      <w:spacing w:before="360" w:after="240"/>
      <w:ind w:left="0"/>
      <w:jc w:val="both"/>
    </w:pPr>
    <w:rPr>
      <w:rFonts w:ascii="Franklin Gothic Book" w:eastAsia="Calibri" w:hAnsi="Franklin Gothic Book" w:cs="Times New Roman"/>
      <w:b/>
      <w:i/>
      <w:color w:val="0070C0"/>
      <w:sz w:val="32"/>
      <w:szCs w:val="28"/>
    </w:rPr>
  </w:style>
  <w:style w:type="paragraph" w:customStyle="1" w:styleId="FSE-Normal">
    <w:name w:val="FSE-Normal"/>
    <w:basedOn w:val="Normal"/>
    <w:link w:val="FSE-NormalCar"/>
    <w:qFormat/>
    <w:rsid w:val="008E4DE3"/>
    <w:pPr>
      <w:shd w:val="clear" w:color="auto" w:fill="FFFFFF"/>
      <w:spacing w:before="60" w:after="60" w:line="240" w:lineRule="auto"/>
      <w:jc w:val="both"/>
    </w:pPr>
    <w:rPr>
      <w:rFonts w:ascii="Verdana" w:eastAsia="Calibri" w:hAnsi="Verdana" w:cs="Times New Roman"/>
      <w:color w:val="404040"/>
      <w:sz w:val="16"/>
    </w:rPr>
  </w:style>
  <w:style w:type="paragraph" w:customStyle="1" w:styleId="FSE-Fichelistedroitetableau">
    <w:name w:val="FSE-Fiche liste droite tableau"/>
    <w:basedOn w:val="Paragraphedeliste"/>
    <w:qFormat/>
    <w:rsid w:val="008E4DE3"/>
    <w:pPr>
      <w:numPr>
        <w:numId w:val="9"/>
      </w:numPr>
      <w:tabs>
        <w:tab w:val="num" w:pos="360"/>
      </w:tabs>
      <w:spacing w:before="120" w:after="120"/>
      <w:ind w:firstLine="0"/>
      <w:contextualSpacing w:val="0"/>
      <w:jc w:val="both"/>
    </w:pPr>
    <w:rPr>
      <w:rFonts w:ascii="Verdana" w:eastAsia="Calibri" w:hAnsi="Verdana" w:cs="Calibri"/>
      <w:color w:val="595959"/>
      <w:sz w:val="16"/>
      <w:szCs w:val="20"/>
    </w:rPr>
  </w:style>
  <w:style w:type="paragraph" w:customStyle="1" w:styleId="FSE-Titretableaugauche">
    <w:name w:val="FSE-Titre tableau gauche"/>
    <w:basedOn w:val="Normal"/>
    <w:qFormat/>
    <w:rsid w:val="008E4DE3"/>
    <w:pPr>
      <w:spacing w:before="120" w:after="120" w:line="240" w:lineRule="auto"/>
      <w:jc w:val="center"/>
    </w:pPr>
    <w:rPr>
      <w:rFonts w:ascii="Verdana" w:eastAsia="Times New Roman" w:hAnsi="Verdana" w:cs="Times New Roman"/>
      <w:b/>
      <w:bCs/>
      <w:i/>
      <w:iCs/>
      <w:color w:val="595959"/>
      <w:sz w:val="16"/>
      <w:szCs w:val="20"/>
    </w:rPr>
  </w:style>
  <w:style w:type="paragraph" w:customStyle="1" w:styleId="Textesansencadr">
    <w:name w:val="Texte sans encadré"/>
    <w:basedOn w:val="Normal"/>
    <w:link w:val="TextesansencadrCar"/>
    <w:qFormat/>
    <w:rsid w:val="008E4DE3"/>
    <w:pPr>
      <w:shd w:val="clear" w:color="auto" w:fill="FFFFFF"/>
      <w:spacing w:before="60" w:after="360" w:line="240" w:lineRule="auto"/>
      <w:jc w:val="both"/>
    </w:pPr>
    <w:rPr>
      <w:rFonts w:ascii="Franklin Gothic Book" w:eastAsia="Calibri" w:hAnsi="Franklin Gothic Book" w:cs="Times New Roman"/>
      <w:color w:val="404040"/>
      <w:sz w:val="18"/>
      <w:szCs w:val="16"/>
    </w:rPr>
  </w:style>
  <w:style w:type="paragraph" w:customStyle="1" w:styleId="texteavecbulletpoint">
    <w:name w:val="texte avec bulletpoint"/>
    <w:basedOn w:val="FSE-Normal"/>
    <w:link w:val="texteavecbulletpointCar"/>
    <w:qFormat/>
    <w:rsid w:val="008E4DE3"/>
    <w:pPr>
      <w:numPr>
        <w:numId w:val="10"/>
      </w:numPr>
    </w:pPr>
    <w:rPr>
      <w:rFonts w:ascii="Franklin Gothic Book" w:hAnsi="Franklin Gothic Book"/>
      <w:sz w:val="20"/>
    </w:rPr>
  </w:style>
  <w:style w:type="character" w:customStyle="1" w:styleId="TextesansencadrCar">
    <w:name w:val="Texte sans encadré Car"/>
    <w:link w:val="Textesansencadr"/>
    <w:rsid w:val="008E4DE3"/>
    <w:rPr>
      <w:rFonts w:ascii="Franklin Gothic Book" w:eastAsia="Calibri" w:hAnsi="Franklin Gothic Book" w:cs="Times New Roman"/>
      <w:color w:val="404040"/>
      <w:sz w:val="18"/>
      <w:szCs w:val="16"/>
      <w:shd w:val="clear" w:color="auto" w:fill="FFFFFF"/>
    </w:rPr>
  </w:style>
  <w:style w:type="paragraph" w:customStyle="1" w:styleId="Titre1police12">
    <w:name w:val="Titre 1 police 12"/>
    <w:basedOn w:val="Textesansencadr"/>
    <w:link w:val="Titre1police12Car"/>
    <w:qFormat/>
    <w:rsid w:val="008E4DE3"/>
    <w:pPr>
      <w:numPr>
        <w:numId w:val="11"/>
      </w:numPr>
    </w:pPr>
    <w:rPr>
      <w:sz w:val="24"/>
    </w:rPr>
  </w:style>
  <w:style w:type="character" w:customStyle="1" w:styleId="FSE-NormalCar">
    <w:name w:val="FSE-Normal Car"/>
    <w:link w:val="FSE-Normal"/>
    <w:rsid w:val="008E4DE3"/>
    <w:rPr>
      <w:rFonts w:ascii="Verdana" w:eastAsia="Calibri" w:hAnsi="Verdana" w:cs="Times New Roman"/>
      <w:color w:val="404040"/>
      <w:sz w:val="16"/>
      <w:shd w:val="clear" w:color="auto" w:fill="FFFFFF"/>
    </w:rPr>
  </w:style>
  <w:style w:type="character" w:customStyle="1" w:styleId="texteavecbulletpointCar">
    <w:name w:val="texte avec bulletpoint Car"/>
    <w:link w:val="texteavecbulletpoint"/>
    <w:rsid w:val="008E4DE3"/>
    <w:rPr>
      <w:rFonts w:ascii="Franklin Gothic Book" w:eastAsia="Calibri" w:hAnsi="Franklin Gothic Book" w:cs="Times New Roman"/>
      <w:color w:val="404040"/>
      <w:sz w:val="20"/>
      <w:shd w:val="clear" w:color="auto" w:fill="FFFFFF"/>
    </w:rPr>
  </w:style>
  <w:style w:type="paragraph" w:customStyle="1" w:styleId="Titre2police11">
    <w:name w:val="Titre 2 police 11"/>
    <w:basedOn w:val="Textesansencadr"/>
    <w:link w:val="Titre2police11Car"/>
    <w:qFormat/>
    <w:rsid w:val="008E4DE3"/>
    <w:pPr>
      <w:numPr>
        <w:numId w:val="12"/>
      </w:numPr>
    </w:pPr>
    <w:rPr>
      <w:sz w:val="22"/>
    </w:rPr>
  </w:style>
  <w:style w:type="character" w:customStyle="1" w:styleId="Titre1police12Car">
    <w:name w:val="Titre 1 police 12 Car"/>
    <w:link w:val="Titre1police12"/>
    <w:rsid w:val="008E4DE3"/>
    <w:rPr>
      <w:rFonts w:ascii="Franklin Gothic Book" w:eastAsia="Calibri" w:hAnsi="Franklin Gothic Book" w:cs="Times New Roman"/>
      <w:color w:val="404040"/>
      <w:sz w:val="24"/>
      <w:szCs w:val="16"/>
      <w:shd w:val="clear" w:color="auto" w:fill="FFFFFF"/>
    </w:rPr>
  </w:style>
  <w:style w:type="paragraph" w:customStyle="1" w:styleId="Titre3police10">
    <w:name w:val="Titre 3 police 10"/>
    <w:basedOn w:val="Textesansencadr"/>
    <w:link w:val="Titre3police10Car"/>
    <w:qFormat/>
    <w:rsid w:val="008E4DE3"/>
    <w:pPr>
      <w:numPr>
        <w:numId w:val="13"/>
      </w:numPr>
    </w:pPr>
    <w:rPr>
      <w:sz w:val="20"/>
    </w:rPr>
  </w:style>
  <w:style w:type="character" w:customStyle="1" w:styleId="Titre2police11Car">
    <w:name w:val="Titre 2 police 11 Car"/>
    <w:link w:val="Titre2police11"/>
    <w:rsid w:val="008E4DE3"/>
    <w:rPr>
      <w:rFonts w:ascii="Franklin Gothic Book" w:eastAsia="Calibri" w:hAnsi="Franklin Gothic Book" w:cs="Times New Roman"/>
      <w:color w:val="404040"/>
      <w:szCs w:val="16"/>
      <w:shd w:val="clear" w:color="auto" w:fill="FFFFFF"/>
    </w:rPr>
  </w:style>
  <w:style w:type="paragraph" w:customStyle="1" w:styleId="Titre4police9">
    <w:name w:val="Titre 4 police 9"/>
    <w:basedOn w:val="Textesansencadr"/>
    <w:link w:val="Titre4police9Car"/>
    <w:qFormat/>
    <w:rsid w:val="008E4DE3"/>
    <w:pPr>
      <w:numPr>
        <w:numId w:val="14"/>
      </w:numPr>
    </w:pPr>
  </w:style>
  <w:style w:type="character" w:customStyle="1" w:styleId="Titre3police10Car">
    <w:name w:val="Titre 3 police 10 Car"/>
    <w:basedOn w:val="TextesansencadrCar"/>
    <w:link w:val="Titre3police10"/>
    <w:rsid w:val="008E4DE3"/>
    <w:rPr>
      <w:rFonts w:ascii="Franklin Gothic Book" w:eastAsia="Calibri" w:hAnsi="Franklin Gothic Book" w:cs="Times New Roman"/>
      <w:color w:val="404040"/>
      <w:sz w:val="20"/>
      <w:szCs w:val="16"/>
      <w:shd w:val="clear" w:color="auto" w:fill="FFFFFF"/>
    </w:rPr>
  </w:style>
  <w:style w:type="paragraph" w:customStyle="1" w:styleId="Style1">
    <w:name w:val="Style1"/>
    <w:basedOn w:val="Titre2"/>
    <w:link w:val="Style1Car"/>
    <w:qFormat/>
    <w:rsid w:val="008E4DE3"/>
    <w:pPr>
      <w:pBdr>
        <w:top w:val="single" w:sz="24" w:space="1" w:color="002060"/>
        <w:left w:val="single" w:sz="24" w:space="4" w:color="002060"/>
        <w:bottom w:val="single" w:sz="24" w:space="1" w:color="002060"/>
        <w:right w:val="single" w:sz="24" w:space="4" w:color="002060"/>
      </w:pBdr>
      <w:shd w:val="clear" w:color="auto" w:fill="00B0F0"/>
      <w:tabs>
        <w:tab w:val="left" w:pos="1701"/>
        <w:tab w:val="center" w:pos="4536"/>
        <w:tab w:val="right" w:pos="9072"/>
      </w:tabs>
      <w:spacing w:before="0"/>
      <w:jc w:val="center"/>
    </w:pPr>
    <w:rPr>
      <w:rFonts w:ascii="Century Gothic" w:eastAsia="Times New Roman" w:hAnsi="Century Gothic" w:cs="Times New Roman"/>
      <w:b/>
      <w:bCs/>
      <w:i/>
      <w:caps/>
      <w:color w:val="FFFFFF"/>
      <w:sz w:val="40"/>
    </w:rPr>
  </w:style>
  <w:style w:type="character" w:customStyle="1" w:styleId="Titre4police9Car">
    <w:name w:val="Titre 4 police 9 Car"/>
    <w:basedOn w:val="TextesansencadrCar"/>
    <w:link w:val="Titre4police9"/>
    <w:rsid w:val="008E4DE3"/>
    <w:rPr>
      <w:rFonts w:ascii="Franklin Gothic Book" w:eastAsia="Calibri" w:hAnsi="Franklin Gothic Book" w:cs="Times New Roman"/>
      <w:color w:val="404040"/>
      <w:sz w:val="18"/>
      <w:szCs w:val="16"/>
      <w:shd w:val="clear" w:color="auto" w:fill="FFFFFF"/>
    </w:rPr>
  </w:style>
  <w:style w:type="character" w:customStyle="1" w:styleId="Style1Car">
    <w:name w:val="Style1 Car"/>
    <w:link w:val="Style1"/>
    <w:rsid w:val="008E4DE3"/>
    <w:rPr>
      <w:rFonts w:ascii="Century Gothic" w:eastAsia="Times New Roman" w:hAnsi="Century Gothic" w:cs="Times New Roman"/>
      <w:b/>
      <w:bCs/>
      <w:i/>
      <w:caps/>
      <w:color w:val="FFFFFF"/>
      <w:sz w:val="40"/>
      <w:szCs w:val="26"/>
      <w:shd w:val="clear" w:color="auto" w:fill="00B0F0"/>
    </w:rPr>
  </w:style>
  <w:style w:type="paragraph" w:customStyle="1" w:styleId="FSE-Fichelistegauchetableau">
    <w:name w:val="FSE-Fiche liste gauche tableau"/>
    <w:basedOn w:val="Paragraphedeliste"/>
    <w:qFormat/>
    <w:rsid w:val="008E4DE3"/>
    <w:pPr>
      <w:spacing w:before="120" w:after="120"/>
      <w:ind w:left="357" w:hanging="357"/>
      <w:contextualSpacing w:val="0"/>
      <w:jc w:val="both"/>
    </w:pPr>
    <w:rPr>
      <w:rFonts w:ascii="Verdana" w:eastAsia="Calibri" w:hAnsi="Verdana" w:cs="Times New Roman"/>
      <w:color w:val="595959"/>
      <w:sz w:val="16"/>
      <w:szCs w:val="20"/>
    </w:rPr>
  </w:style>
  <w:style w:type="character" w:styleId="Textedelespacerserv">
    <w:name w:val="Placeholder Text"/>
    <w:basedOn w:val="Policepardfaut"/>
    <w:uiPriority w:val="99"/>
    <w:semiHidden/>
    <w:rsid w:val="008E4DE3"/>
    <w:rPr>
      <w:color w:val="808080"/>
    </w:rPr>
  </w:style>
  <w:style w:type="paragraph" w:customStyle="1" w:styleId="Standard">
    <w:name w:val="Standard"/>
    <w:rsid w:val="008E4DE3"/>
    <w:pPr>
      <w:tabs>
        <w:tab w:val="left" w:pos="708"/>
      </w:tabs>
      <w:suppressAutoHyphens/>
      <w:spacing w:after="0" w:line="240" w:lineRule="auto"/>
    </w:pPr>
    <w:rPr>
      <w:rFonts w:ascii="Times New Roman" w:eastAsia="Times New Roman" w:hAnsi="Times New Roman" w:cs="Times New Roman"/>
      <w:sz w:val="24"/>
      <w:szCs w:val="24"/>
      <w:lang w:eastAsia="fr-FR"/>
    </w:rPr>
  </w:style>
  <w:style w:type="table" w:customStyle="1" w:styleId="TableauListe4-Accentuation21">
    <w:name w:val="Tableau Liste 4 - Accentuation 21"/>
    <w:basedOn w:val="TableauNormal"/>
    <w:next w:val="TableauListe4-Accentuation2"/>
    <w:uiPriority w:val="49"/>
    <w:rsid w:val="008E4DE3"/>
    <w:pPr>
      <w:spacing w:after="0" w:line="240" w:lineRule="auto"/>
    </w:pPr>
    <w:rPr>
      <w:rFonts w:ascii="Arial" w:eastAsia="Calibri" w:hAnsi="Arial" w:cs="Arial"/>
      <w:sz w:val="24"/>
      <w:szCs w:val="24"/>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eauGrille4-Accentuation21">
    <w:name w:val="Tableau Grille 4 - Accentuation 21"/>
    <w:basedOn w:val="TableauNormal"/>
    <w:next w:val="TableauGrille4-Accentuation2"/>
    <w:uiPriority w:val="49"/>
    <w:rsid w:val="008E4DE3"/>
    <w:pPr>
      <w:spacing w:after="0" w:line="240" w:lineRule="auto"/>
    </w:pPr>
    <w:rPr>
      <w:rFonts w:ascii="Arial" w:eastAsia="Calibri" w:hAnsi="Arial" w:cs="Arial"/>
      <w:sz w:val="24"/>
      <w:szCs w:val="24"/>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TableauListe4-Accentuation2">
    <w:name w:val="List Table 4 Accent 2"/>
    <w:basedOn w:val="TableauNormal"/>
    <w:uiPriority w:val="49"/>
    <w:rsid w:val="008E4DE3"/>
    <w:pPr>
      <w:spacing w:after="0" w:line="240" w:lineRule="auto"/>
    </w:pPr>
    <w:rPr>
      <w:rFonts w:ascii="Calibri" w:eastAsia="Calibri" w:hAnsi="Calibri" w:cs="Times New Roman"/>
      <w:sz w:val="20"/>
      <w:szCs w:val="20"/>
      <w:lang w:eastAsia="fr-FR"/>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4-Accentuation2">
    <w:name w:val="Grid Table 4 Accent 2"/>
    <w:basedOn w:val="TableauNormal"/>
    <w:uiPriority w:val="49"/>
    <w:rsid w:val="008E4DE3"/>
    <w:pPr>
      <w:spacing w:after="0" w:line="240" w:lineRule="auto"/>
    </w:pPr>
    <w:rPr>
      <w:rFonts w:ascii="Calibri" w:eastAsia="Calibri" w:hAnsi="Calibri" w:cs="Times New Roman"/>
      <w:sz w:val="20"/>
      <w:szCs w:val="20"/>
      <w:lang w:eastAsia="fr-FR"/>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eauGrille5Fonc-Accentuation2">
    <w:name w:val="Grid Table 5 Dark Accent 2"/>
    <w:basedOn w:val="TableauNormal"/>
    <w:uiPriority w:val="50"/>
    <w:rsid w:val="008E4DE3"/>
    <w:pPr>
      <w:spacing w:after="0" w:line="240" w:lineRule="auto"/>
    </w:pPr>
    <w:rPr>
      <w:rFonts w:ascii="Calibri" w:eastAsia="Calibri" w:hAnsi="Calibri" w:cs="Times New Roman"/>
      <w:sz w:val="20"/>
      <w:szCs w:val="20"/>
      <w:lang w:eastAsia="fr-F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styleId="Accentuation">
    <w:name w:val="Emphasis"/>
    <w:basedOn w:val="Policepardfaut"/>
    <w:uiPriority w:val="20"/>
    <w:qFormat/>
    <w:rsid w:val="008E4DE3"/>
    <w:rPr>
      <w:i/>
      <w:iCs/>
    </w:rPr>
  </w:style>
  <w:style w:type="character" w:styleId="Mention">
    <w:name w:val="Mention"/>
    <w:basedOn w:val="Policepardfaut"/>
    <w:uiPriority w:val="99"/>
    <w:unhideWhenUsed/>
    <w:rsid w:val="008E4DE3"/>
    <w:rPr>
      <w:color w:val="2B579A"/>
      <w:shd w:val="clear" w:color="auto" w:fill="E6E6E6"/>
    </w:rPr>
  </w:style>
  <w:style w:type="character" w:customStyle="1" w:styleId="sstooltip">
    <w:name w:val="sstooltip"/>
    <w:basedOn w:val="Policepardfaut"/>
    <w:rsid w:val="008E4DE3"/>
  </w:style>
  <w:style w:type="character" w:customStyle="1" w:styleId="Policepardfaut1">
    <w:name w:val="Police par défaut1"/>
    <w:rsid w:val="008E4DE3"/>
  </w:style>
  <w:style w:type="paragraph" w:customStyle="1" w:styleId="Normal1">
    <w:name w:val="Normal1"/>
    <w:rsid w:val="008E4DE3"/>
    <w:pPr>
      <w:suppressAutoHyphens/>
      <w:spacing w:after="0" w:line="100" w:lineRule="atLeast"/>
    </w:pPr>
    <w:rPr>
      <w:rFonts w:ascii="Arial" w:eastAsia="Times New Roman" w:hAnsi="Arial" w:cs="Times New Roman"/>
      <w:sz w:val="24"/>
      <w:szCs w:val="20"/>
      <w:lang w:eastAsia="fr-FR"/>
    </w:rPr>
  </w:style>
  <w:style w:type="paragraph" w:customStyle="1" w:styleId="Texteinterieur">
    <w:name w:val="Texte interieur"/>
    <w:basedOn w:val="Normal"/>
    <w:link w:val="TexteinterieurCar"/>
    <w:qFormat/>
    <w:rsid w:val="008E4DE3"/>
    <w:pPr>
      <w:spacing w:after="0" w:line="240" w:lineRule="auto"/>
    </w:pPr>
    <w:rPr>
      <w:rFonts w:ascii="Arial" w:hAnsi="Arial" w:cs="Arial"/>
    </w:rPr>
  </w:style>
  <w:style w:type="character" w:customStyle="1" w:styleId="TexteinterieurCar">
    <w:name w:val="Texte interieur Car"/>
    <w:basedOn w:val="Policepardfaut"/>
    <w:link w:val="Texteinterieur"/>
    <w:rsid w:val="008E4DE3"/>
    <w:rPr>
      <w:rFonts w:ascii="Arial" w:hAnsi="Arial" w:cs="Arial"/>
    </w:rPr>
  </w:style>
  <w:style w:type="paragraph" w:customStyle="1" w:styleId="CM1">
    <w:name w:val="CM1"/>
    <w:basedOn w:val="Default"/>
    <w:next w:val="Default"/>
    <w:uiPriority w:val="99"/>
    <w:rsid w:val="008E4DE3"/>
    <w:rPr>
      <w:rFonts w:ascii="EU Albertina" w:eastAsia="Calibri" w:hAnsi="EU Albertina" w:cs="Times New Roman"/>
      <w:color w:val="auto"/>
      <w:lang w:eastAsia="fr-FR"/>
    </w:rPr>
  </w:style>
  <w:style w:type="paragraph" w:customStyle="1" w:styleId="CM3">
    <w:name w:val="CM3"/>
    <w:basedOn w:val="Default"/>
    <w:next w:val="Default"/>
    <w:uiPriority w:val="99"/>
    <w:rsid w:val="008E4DE3"/>
    <w:rPr>
      <w:rFonts w:ascii="EU Albertina" w:eastAsia="Calibri" w:hAnsi="EU Albertina" w:cs="Times New Roman"/>
      <w:color w:val="auto"/>
      <w:lang w:eastAsia="fr-FR"/>
    </w:rPr>
  </w:style>
  <w:style w:type="paragraph" w:styleId="Corpsdetexte">
    <w:name w:val="Body Text"/>
    <w:basedOn w:val="Normal"/>
    <w:link w:val="CorpsdetexteCar"/>
    <w:uiPriority w:val="1"/>
    <w:qFormat/>
    <w:rsid w:val="008E4DE3"/>
    <w:pPr>
      <w:widowControl w:val="0"/>
      <w:autoSpaceDE w:val="0"/>
      <w:autoSpaceDN w:val="0"/>
      <w:spacing w:after="0" w:line="240" w:lineRule="auto"/>
    </w:pPr>
    <w:rPr>
      <w:rFonts w:ascii="Georgia" w:eastAsia="Georgia" w:hAnsi="Georgia" w:cs="Georgia"/>
    </w:rPr>
  </w:style>
  <w:style w:type="character" w:customStyle="1" w:styleId="CorpsdetexteCar">
    <w:name w:val="Corps de texte Car"/>
    <w:basedOn w:val="Policepardfaut"/>
    <w:link w:val="Corpsdetexte"/>
    <w:uiPriority w:val="1"/>
    <w:rsid w:val="008E4DE3"/>
    <w:rPr>
      <w:rFonts w:ascii="Georgia" w:eastAsia="Georgia" w:hAnsi="Georgia" w:cs="Georgia"/>
    </w:rPr>
  </w:style>
  <w:style w:type="paragraph" w:customStyle="1" w:styleId="CM4">
    <w:name w:val="CM4"/>
    <w:basedOn w:val="Default"/>
    <w:next w:val="Default"/>
    <w:uiPriority w:val="99"/>
    <w:rsid w:val="008E4DE3"/>
    <w:rPr>
      <w:rFonts w:ascii="EU Albertina" w:eastAsia="Calibri" w:hAnsi="EU Albertina" w:cs="Times New Roman"/>
      <w:color w:val="auto"/>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13475">
      <w:bodyDiv w:val="1"/>
      <w:marLeft w:val="0"/>
      <w:marRight w:val="0"/>
      <w:marTop w:val="0"/>
      <w:marBottom w:val="0"/>
      <w:divBdr>
        <w:top w:val="none" w:sz="0" w:space="0" w:color="auto"/>
        <w:left w:val="none" w:sz="0" w:space="0" w:color="auto"/>
        <w:bottom w:val="none" w:sz="0" w:space="0" w:color="auto"/>
        <w:right w:val="none" w:sz="0" w:space="0" w:color="auto"/>
      </w:divBdr>
    </w:div>
    <w:div w:id="973758796">
      <w:bodyDiv w:val="1"/>
      <w:marLeft w:val="0"/>
      <w:marRight w:val="0"/>
      <w:marTop w:val="0"/>
      <w:marBottom w:val="0"/>
      <w:divBdr>
        <w:top w:val="none" w:sz="0" w:space="0" w:color="auto"/>
        <w:left w:val="none" w:sz="0" w:space="0" w:color="auto"/>
        <w:bottom w:val="none" w:sz="0" w:space="0" w:color="auto"/>
        <w:right w:val="none" w:sz="0" w:space="0" w:color="auto"/>
      </w:divBdr>
    </w:div>
    <w:div w:id="134158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sv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peidf.fr/actualites/guidedom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AP-FSE@iledefrance.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TaxCatchAll xmlns="db596a05-4eb8-4562-9d8b-7d751c376deb" xsi:nil="true"/>
    <lcf76f155ced4ddcb4097134ff3c332f xmlns="64cc52a1-850f-4b9d-a616-89d89911419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3" ma:contentTypeDescription="Crée un document." ma:contentTypeScope="" ma:versionID="117faebfb829ede2da588efbf9ca4861">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b101e965822e84013f021fb5bc780640"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FDB25-3203-41A6-9D13-49F09496E756}">
  <ds:schemaRefs>
    <ds:schemaRef ds:uri="http://purl.org/dc/terms/"/>
    <ds:schemaRef ds:uri="http://schemas.microsoft.com/office/2006/metadata/properties"/>
    <ds:schemaRef ds:uri="db596a05-4eb8-4562-9d8b-7d751c376deb"/>
    <ds:schemaRef ds:uri="64cc52a1-850f-4b9d-a616-89d899114193"/>
    <ds:schemaRef ds:uri="http://schemas.microsoft.com/office/2006/documentManagement/types"/>
    <ds:schemaRef ds:uri="http://www.w3.org/XML/1998/namespace"/>
    <ds:schemaRef ds:uri="http://purl.org/dc/dcmitype/"/>
    <ds:schemaRef ds:uri="http://schemas.openxmlformats.org/package/2006/metadata/core-properties"/>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A618ED19-07BE-4A85-B393-013113492E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3A637D-70E6-46FE-B86E-94608EC26AEC}">
  <ds:schemaRefs>
    <ds:schemaRef ds:uri="http://schemas.microsoft.com/sharepoint/v3/contenttype/forms"/>
  </ds:schemaRefs>
</ds:datastoreItem>
</file>

<file path=customXml/itemProps4.xml><?xml version="1.0" encoding="utf-8"?>
<ds:datastoreItem xmlns:ds="http://schemas.openxmlformats.org/officeDocument/2006/customXml" ds:itemID="{CB0071E6-2AB7-425E-A610-2FF07FDCC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1783</Words>
  <Characters>9810</Characters>
  <Application>Microsoft Office Word</Application>
  <DocSecurity>0</DocSecurity>
  <Lines>81</Lines>
  <Paragraphs>23</Paragraphs>
  <ScaleCrop>false</ScaleCrop>
  <Company/>
  <LinksUpToDate>false</LinksUpToDate>
  <CharactersWithSpaces>11570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CAILLAUD Bertille</dc:creator>
  <cp:keywords/>
  <dc:description/>
  <cp:lastModifiedBy>TROLLIET Philippe</cp:lastModifiedBy>
  <cp:revision>154</cp:revision>
  <dcterms:created xsi:type="dcterms:W3CDTF">2022-11-15T15:27:00Z</dcterms:created>
  <dcterms:modified xsi:type="dcterms:W3CDTF">2023-06-27T14:01:00Z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y fmtid="{D5CDD505-2E9C-101B-9397-08002B2CF9AE}" pid="3" name="MediaServiceImageTags">
    <vt:lpwstr/>
  </property>
</Properties>
</file>